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b/>
          <w:bCs/>
          <w:sz w:val="20"/>
        </w:rPr>
      </w:pPr>
      <w:r>
        <w:rPr>
          <w:rFonts w:ascii="Verdana" w:hAnsi="Verdana"/>
          <w:b/>
          <w:bCs/>
          <w:sz w:val="20"/>
        </w:rPr>
      </w:r>
    </w:p>
    <w:p>
      <w:pPr>
        <w:pStyle w:val="Normal"/>
        <w:spacing w:lineRule="auto" w:line="240"/>
        <w:jc w:val="center"/>
        <w:rPr>
          <w:rFonts w:ascii="Verdana" w:hAnsi="Verdana"/>
        </w:rPr>
      </w:pPr>
      <w:r>
        <w:rPr>
          <w:rFonts w:ascii="Verdana" w:hAnsi="Verdana"/>
          <w:b/>
          <w:bCs/>
          <w:sz w:val="20"/>
        </w:rPr>
        <w:t xml:space="preserve">TERMO DE REFERÊNCIA </w:t>
      </w:r>
    </w:p>
    <w:p>
      <w:pPr>
        <w:pStyle w:val="Normal"/>
        <w:spacing w:lineRule="auto" w:line="240"/>
        <w:jc w:val="center"/>
        <w:rPr>
          <w:rFonts w:ascii="Verdana" w:hAnsi="Verdana"/>
          <w:b/>
          <w:bCs/>
          <w:sz w:val="20"/>
        </w:rPr>
      </w:pPr>
      <w:r>
        <w:rPr>
          <w:rFonts w:ascii="Verdana" w:hAnsi="Verdana"/>
          <w:b/>
          <w:bCs/>
          <w:sz w:val="20"/>
        </w:rPr>
      </w:r>
    </w:p>
    <w:p>
      <w:pPr>
        <w:pStyle w:val="Normal"/>
        <w:spacing w:lineRule="auto" w:line="240"/>
        <w:jc w:val="both"/>
        <w:rPr>
          <w:rFonts w:ascii="Verdana" w:hAnsi="Verdana"/>
        </w:rPr>
      </w:pPr>
      <w:r>
        <w:rPr>
          <w:rFonts w:ascii="Verdana" w:hAnsi="Verdana"/>
          <w:b/>
          <w:bCs/>
          <w:iCs/>
          <w:sz w:val="20"/>
        </w:rPr>
        <w:t xml:space="preserve">REGISTRO DE PREÇOS – AQUISIÇÃO </w:t>
      </w:r>
      <w:r>
        <w:rPr>
          <w:rFonts w:eastAsia="Arial" w:cs="Arial" w:ascii="Verdana" w:hAnsi="Verdana"/>
          <w:b/>
          <w:bCs/>
          <w:iCs/>
          <w:sz w:val="20"/>
        </w:rPr>
        <w:t xml:space="preserve">EQUIPAMENTOS DE PROTEÇÃO INDIVIDUAL (EPIS) </w:t>
      </w:r>
    </w:p>
    <w:p>
      <w:pPr>
        <w:pStyle w:val="Normal"/>
        <w:spacing w:lineRule="auto" w:line="240"/>
        <w:jc w:val="both"/>
        <w:rPr>
          <w:rFonts w:ascii="Verdana" w:hAnsi="Verdana"/>
          <w:b/>
          <w:bCs/>
          <w:iCs/>
          <w:sz w:val="20"/>
        </w:rPr>
      </w:pPr>
      <w:r>
        <w:rPr>
          <w:rFonts w:ascii="Verdana" w:hAnsi="Verdana"/>
          <w:b/>
          <w:bCs/>
          <w:iCs/>
          <w:sz w:val="20"/>
        </w:rPr>
      </w:r>
    </w:p>
    <w:p>
      <w:pPr>
        <w:pStyle w:val="Normal"/>
        <w:spacing w:lineRule="auto" w:line="240"/>
        <w:jc w:val="both"/>
        <w:rPr>
          <w:rFonts w:ascii="Verdana" w:hAnsi="Verdana"/>
        </w:rPr>
      </w:pPr>
      <w:r>
        <w:rPr>
          <w:rFonts w:cs="Arial" w:ascii="Verdana" w:hAnsi="Verdana"/>
          <w:b/>
          <w:bCs/>
          <w:sz w:val="20"/>
        </w:rPr>
        <w:t xml:space="preserve">Processo Administrativo nº </w:t>
      </w:r>
      <w:r>
        <w:rPr>
          <w:rFonts w:ascii="Verdana" w:hAnsi="Verdana"/>
          <w:b/>
          <w:bCs/>
          <w:sz w:val="20"/>
        </w:rPr>
        <w:t>002691</w:t>
      </w:r>
      <w:r>
        <w:rPr>
          <w:rFonts w:cs="Arial" w:ascii="Verdana" w:hAnsi="Verdana"/>
          <w:b/>
          <w:bCs/>
          <w:sz w:val="20"/>
        </w:rPr>
        <w:t>/2026 de 16 de abril de 2026 (Secretaria Municipal de Administração)</w:t>
      </w:r>
    </w:p>
    <w:p>
      <w:pPr>
        <w:pStyle w:val="Normal"/>
        <w:spacing w:lineRule="auto" w:line="240"/>
        <w:jc w:val="center"/>
        <w:rPr>
          <w:rFonts w:ascii="Verdana" w:hAnsi="Verdana" w:cs="Arial"/>
          <w:b/>
          <w:bCs/>
          <w:sz w:val="20"/>
        </w:rPr>
      </w:pPr>
      <w:r>
        <w:rPr>
          <w:rFonts w:cs="Arial" w:ascii="Verdana" w:hAnsi="Verdana"/>
          <w:b/>
          <w:bCs/>
          <w:sz w:val="20"/>
        </w:rPr>
      </w:r>
    </w:p>
    <w:p>
      <w:pPr>
        <w:pStyle w:val="Nivel1"/>
        <w:spacing w:lineRule="auto" w:line="240" w:before="0" w:after="0"/>
        <w:rPr>
          <w:rFonts w:ascii="Verdana" w:hAnsi="Verdana"/>
        </w:rPr>
      </w:pPr>
      <w:r>
        <w:rPr>
          <w:rFonts w:cs="Times New Roman" w:ascii="Verdana" w:hAnsi="Verdana"/>
          <w:bCs/>
          <w:color w:val="auto"/>
          <w:sz w:val="20"/>
          <w:szCs w:val="20"/>
        </w:rPr>
        <w:t>1. DAS CONDIÇÕES GERAIS DA CONTRATAÇÃO</w:t>
      </w:r>
    </w:p>
    <w:p>
      <w:pPr>
        <w:pStyle w:val="ListParagraph"/>
        <w:tabs>
          <w:tab w:val="clear" w:pos="708"/>
          <w:tab w:val="left" w:pos="0" w:leader="none"/>
        </w:tabs>
        <w:suppressAutoHyphens w:val="false"/>
        <w:spacing w:lineRule="auto" w:line="240"/>
        <w:ind w:left="0"/>
        <w:jc w:val="both"/>
        <w:rPr>
          <w:rFonts w:ascii="Verdana" w:hAnsi="Verdana"/>
        </w:rPr>
      </w:pPr>
      <w:r>
        <w:rPr>
          <w:rFonts w:ascii="Verdana" w:hAnsi="Verdana"/>
          <w:sz w:val="20"/>
          <w:szCs w:val="20"/>
        </w:rPr>
        <w:t xml:space="preserve">1.1 </w:t>
      </w:r>
      <w:r>
        <w:rPr>
          <w:rFonts w:eastAsia="Batang;바탕" w:cs="Arial" w:ascii="Verdana" w:hAnsi="Verdana"/>
          <w:b/>
          <w:sz w:val="20"/>
          <w:szCs w:val="20"/>
        </w:rPr>
        <w:t>Registro de Preços,</w:t>
      </w:r>
      <w:r>
        <w:rPr>
          <w:rFonts w:eastAsia="Batang;바탕" w:cs="Arial" w:ascii="Verdana" w:hAnsi="Verdana"/>
          <w:sz w:val="20"/>
          <w:szCs w:val="20"/>
        </w:rPr>
        <w:t xml:space="preserve"> para f</w:t>
      </w:r>
      <w:r>
        <w:rPr>
          <w:rFonts w:eastAsia="Batang;바탕" w:cs="Arial" w:ascii="Verdana" w:hAnsi="Verdana"/>
          <w:iCs/>
          <w:sz w:val="20"/>
          <w:szCs w:val="20"/>
        </w:rPr>
        <w:t xml:space="preserve">utura e eventual aquisição de </w:t>
      </w:r>
      <w:r>
        <w:rPr>
          <w:rFonts w:eastAsia="Arial" w:cs="Arial" w:ascii="Verdana" w:hAnsi="Verdana"/>
          <w:iCs/>
          <w:sz w:val="20"/>
          <w:szCs w:val="20"/>
        </w:rPr>
        <w:t xml:space="preserve">equipamentos de proteção individual (epis) </w:t>
      </w:r>
      <w:r>
        <w:rPr>
          <w:rFonts w:eastAsia="Batang;바탕" w:cs="Arial" w:ascii="Verdana" w:hAnsi="Verdana"/>
          <w:iCs/>
          <w:sz w:val="20"/>
          <w:szCs w:val="20"/>
        </w:rPr>
        <w:t>para garantir a segurança e bem-estar dos colaboradores durante as atividades realizadas no município de São Gabriel da Palha e nas Unidades Administrativas e demais Secretarias, por um prazo de 12 (doze) meses. R</w:t>
      </w:r>
      <w:r>
        <w:rPr>
          <w:rFonts w:eastAsia="Times New Roman" w:cs="Times New Roman" w:ascii="Verdana" w:hAnsi="Verdana"/>
          <w:iCs/>
          <w:sz w:val="20"/>
          <w:szCs w:val="20"/>
        </w:rPr>
        <w:t>elacionados e especificados, constantes neste Termo de Referência, ETP e requisições constantes nos autos.</w:t>
      </w:r>
    </w:p>
    <w:p>
      <w:pPr>
        <w:pStyle w:val="ListParagraph"/>
        <w:tabs>
          <w:tab w:val="clear" w:pos="708"/>
          <w:tab w:val="left" w:pos="0" w:leader="none"/>
        </w:tabs>
        <w:suppressAutoHyphens w:val="false"/>
        <w:spacing w:lineRule="auto" w:line="240"/>
        <w:ind w:left="0"/>
        <w:jc w:val="both"/>
        <w:rPr>
          <w:rFonts w:ascii="Verdana" w:hAnsi="Verdana" w:eastAsia="Times New Roman" w:cs="Times New Roman"/>
          <w:iCs/>
          <w:sz w:val="20"/>
          <w:szCs w:val="20"/>
        </w:rPr>
      </w:pPr>
      <w:r>
        <w:rPr>
          <w:rFonts w:eastAsia="Times New Roman" w:cs="Times New Roman" w:ascii="Verdana" w:hAnsi="Verdana"/>
          <w:iCs/>
          <w:sz w:val="20"/>
          <w:szCs w:val="20"/>
        </w:rPr>
      </w:r>
    </w:p>
    <w:tbl>
      <w:tblPr>
        <w:tblW w:w="10412" w:type="dxa"/>
        <w:jc w:val="left"/>
        <w:tblInd w:w="-350" w:type="dxa"/>
        <w:tblLayout w:type="fixed"/>
        <w:tblCellMar>
          <w:top w:w="55" w:type="dxa"/>
          <w:left w:w="55" w:type="dxa"/>
          <w:bottom w:w="55" w:type="dxa"/>
          <w:right w:w="55" w:type="dxa"/>
        </w:tblCellMar>
        <w:tblLook w:firstRow="0" w:noVBand="0" w:lastRow="0" w:firstColumn="0" w:lastColumn="0" w:noHBand="0" w:val="0000"/>
      </w:tblPr>
      <w:tblGrid>
        <w:gridCol w:w="846"/>
        <w:gridCol w:w="4127"/>
        <w:gridCol w:w="1151"/>
        <w:gridCol w:w="949"/>
        <w:gridCol w:w="1483"/>
        <w:gridCol w:w="1855"/>
      </w:tblGrid>
      <w:tr>
        <w:trPr/>
        <w:tc>
          <w:tcPr>
            <w:tcW w:w="846"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rPr>
            </w:pPr>
            <w:r>
              <w:rPr>
                <w:rFonts w:ascii="Verdana" w:hAnsi="Verdana"/>
                <w:b/>
                <w:bCs/>
                <w:sz w:val="20"/>
              </w:rPr>
              <w:t>Item</w:t>
            </w:r>
          </w:p>
        </w:tc>
        <w:tc>
          <w:tcPr>
            <w:tcW w:w="4127"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rPr>
            </w:pPr>
            <w:r>
              <w:rPr>
                <w:rFonts w:ascii="Verdana" w:hAnsi="Verdana"/>
                <w:b/>
                <w:bCs/>
                <w:sz w:val="20"/>
              </w:rPr>
              <w:t>Descrição</w:t>
            </w:r>
          </w:p>
        </w:tc>
        <w:tc>
          <w:tcPr>
            <w:tcW w:w="1151"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rPr>
            </w:pPr>
            <w:r>
              <w:rPr>
                <w:rFonts w:ascii="Verdana" w:hAnsi="Verdana"/>
                <w:b/>
                <w:bCs/>
                <w:sz w:val="20"/>
              </w:rPr>
              <w:t>Quant.</w:t>
            </w:r>
          </w:p>
        </w:tc>
        <w:tc>
          <w:tcPr>
            <w:tcW w:w="949"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rPr>
            </w:pPr>
            <w:r>
              <w:rPr>
                <w:rFonts w:ascii="Verdana" w:hAnsi="Verdana"/>
                <w:b/>
                <w:bCs/>
                <w:sz w:val="20"/>
              </w:rPr>
              <w:t>Und.</w:t>
            </w:r>
          </w:p>
        </w:tc>
        <w:tc>
          <w:tcPr>
            <w:tcW w:w="1483"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rPr>
            </w:pPr>
            <w:r>
              <w:rPr>
                <w:rFonts w:ascii="Verdana" w:hAnsi="Verdana"/>
                <w:b/>
                <w:bCs/>
                <w:sz w:val="20"/>
                <w:lang w:eastAsia="zh-CN"/>
              </w:rPr>
              <w:t>Valor Estimado Unitário</w:t>
            </w:r>
          </w:p>
        </w:tc>
        <w:tc>
          <w:tcPr>
            <w:tcW w:w="1855"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rFonts w:ascii="Verdana" w:hAnsi="Verdana"/>
              </w:rPr>
            </w:pPr>
            <w:r>
              <w:rPr>
                <w:rFonts w:ascii="Verdana" w:hAnsi="Verdana"/>
                <w:b/>
                <w:bCs/>
                <w:sz w:val="20"/>
                <w:lang w:eastAsia="zh-CN"/>
              </w:rPr>
              <w:t>Valor Estimado Total</w:t>
            </w:r>
          </w:p>
        </w:tc>
      </w:tr>
      <w:tr>
        <w:trPr>
          <w:trHeight w:val="2702" w:hRule="atLeast"/>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01</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DE LATEX PARA LIMPEZA LUVA DE SEGURANÇA CONFECCIONADA EM LÁTEX, AMARELA OU VERDE, FORRADA, SUPERFÍCIE ANTIDERRAPANTE PALMA E DEDOS, COM VIROLA, COMPRIMENTO 31 CM</w:t>
            </w:r>
          </w:p>
          <w:p>
            <w:pPr>
              <w:pStyle w:val="Normal"/>
              <w:widowControl w:val="false"/>
              <w:spacing w:lineRule="auto" w:line="240"/>
              <w:jc w:val="both"/>
              <w:rPr>
                <w:rFonts w:ascii="Verdana" w:hAnsi="Verdana"/>
              </w:rPr>
            </w:pPr>
            <w:r>
              <w:rPr>
                <w:rFonts w:ascii="Verdana" w:hAnsi="Verdana"/>
                <w:sz w:val="20"/>
              </w:rPr>
              <w:br/>
              <w:t>TAMANHOS</w:t>
            </w:r>
            <w:r>
              <w:rPr>
                <w:rFonts w:cs="Arial" w:ascii="Verdana" w:hAnsi="Verdana"/>
                <w:sz w:val="20"/>
              </w:rPr>
              <w:t>:</w:t>
            </w:r>
          </w:p>
          <w:p>
            <w:pPr>
              <w:pStyle w:val="Normal"/>
              <w:widowControl w:val="false"/>
              <w:spacing w:lineRule="auto" w:line="240"/>
              <w:rPr>
                <w:rFonts w:ascii="Verdana" w:hAnsi="Verdana"/>
              </w:rPr>
            </w:pPr>
            <w:r>
              <w:rPr>
                <w:rFonts w:cs="Arial" w:ascii="Verdana" w:hAnsi="Verdana"/>
                <w:sz w:val="20"/>
              </w:rPr>
              <w:t>P -  300</w:t>
            </w:r>
          </w:p>
          <w:p>
            <w:pPr>
              <w:pStyle w:val="Normal"/>
              <w:widowControl w:val="false"/>
              <w:spacing w:lineRule="auto" w:line="240"/>
              <w:rPr>
                <w:rFonts w:ascii="Verdana" w:hAnsi="Verdana"/>
              </w:rPr>
            </w:pPr>
            <w:r>
              <w:rPr>
                <w:rFonts w:cs="Arial" w:ascii="Verdana" w:hAnsi="Verdana"/>
                <w:sz w:val="20"/>
              </w:rPr>
              <w:t>M - 350</w:t>
            </w:r>
          </w:p>
          <w:p>
            <w:pPr>
              <w:pStyle w:val="Normal"/>
              <w:widowControl w:val="false"/>
              <w:spacing w:lineRule="auto" w:line="240"/>
              <w:jc w:val="both"/>
              <w:rPr>
                <w:rFonts w:ascii="Verdana" w:hAnsi="Verdana"/>
              </w:rPr>
            </w:pPr>
            <w:r>
              <w:rPr>
                <w:rFonts w:cs="Arial" w:ascii="Verdana" w:hAnsi="Verdana"/>
                <w:sz w:val="20"/>
              </w:rPr>
              <w:t>G - 3504</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1000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R$ 3,50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R$ 3.500,00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02</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CIRÚRGICA TAMANHO P EM LÁTEX 100% NATURAL, ANATÔMICA, PULVERIZADAS COM PÓ BIO-ABSORVÍVEL, a base de amido de milho para facilitar o calçamento; superfície microtexturizada, antideslizante, totalmente  impermeável à água e a outros fluidos; bainhas reforçadas, resistente, com tensão</w:t>
            </w:r>
          </w:p>
          <w:p>
            <w:pPr>
              <w:pStyle w:val="Normal"/>
              <w:widowControl w:val="false"/>
              <w:spacing w:lineRule="auto" w:line="240"/>
              <w:jc w:val="both"/>
              <w:rPr>
                <w:rFonts w:ascii="Verdana" w:hAnsi="Verdana"/>
              </w:rPr>
            </w:pPr>
            <w:r>
              <w:rPr>
                <w:rFonts w:ascii="Verdana" w:hAnsi="Verdana"/>
                <w:sz w:val="20"/>
              </w:rPr>
              <w:t>de ruptura mínima, alta sensibilidade e conforto, com baixo teor de proteína, embalagem tipo wallet, indicando mão direita e esquerda; embalagem dopar de</w:t>
            </w:r>
          </w:p>
          <w:p>
            <w:pPr>
              <w:pStyle w:val="Normal"/>
              <w:widowControl w:val="false"/>
              <w:spacing w:lineRule="auto" w:line="240"/>
              <w:jc w:val="both"/>
              <w:rPr>
                <w:rFonts w:ascii="Verdana" w:hAnsi="Verdana"/>
              </w:rPr>
            </w:pPr>
            <w:r>
              <w:rPr>
                <w:rFonts w:ascii="Verdana" w:hAnsi="Verdana"/>
                <w:sz w:val="20"/>
              </w:rPr>
              <w:t>luvas confeccionada em papel grau cirúrgico, de fácil abertura, atóxica, esterelizada por óxido de etileno</w:t>
            </w:r>
          </w:p>
          <w:p>
            <w:pPr>
              <w:pStyle w:val="Normal"/>
              <w:widowControl w:val="false"/>
              <w:spacing w:lineRule="auto" w:line="240"/>
              <w:jc w:val="both"/>
              <w:rPr>
                <w:rFonts w:ascii="Verdana" w:hAnsi="Verdana"/>
              </w:rPr>
            </w:pPr>
            <w:r>
              <w:rPr>
                <w:rFonts w:ascii="Verdana" w:hAnsi="Verdana"/>
                <w:sz w:val="20"/>
              </w:rPr>
              <w:t>caixa com 100 unidades</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80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CX</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R$ 33,98</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R$ 2.718,40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03</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CIRÚRGICA (TAMANHO M) LUVA CIRÚRGICA TAMANHO P EM LÁTEX 100% NATURAL, ANATÔMICA, PULVERIZADAS COM PÓ BIO-ABSORVÍVEL, a base de amido de milho para facilitar o calçamento; superfície microtexturizada, antideslizante, totalmente impermeável à água e a outros fluidos; bainhas reforçadas, resistente, com tensão de ruptura mínima, alta sensibilidade e conforto, com baixo teor de proteína, embalagem tipo wallet, indicando mão direita e esquerda; embalagem dopar de luvas confeccionada em pe=apel grau</w:t>
            </w:r>
          </w:p>
          <w:p>
            <w:pPr>
              <w:pStyle w:val="Normal"/>
              <w:widowControl w:val="false"/>
              <w:spacing w:lineRule="auto" w:line="240"/>
              <w:jc w:val="both"/>
              <w:rPr>
                <w:rFonts w:ascii="Verdana" w:hAnsi="Verdana"/>
              </w:rPr>
            </w:pPr>
            <w:r>
              <w:rPr>
                <w:rFonts w:ascii="Verdana" w:hAnsi="Verdana"/>
                <w:sz w:val="20"/>
              </w:rPr>
              <w:t>cirúrgico, de fácil abertura, atóxica,</w:t>
            </w:r>
          </w:p>
          <w:p>
            <w:pPr>
              <w:pStyle w:val="Normal"/>
              <w:widowControl w:val="false"/>
              <w:spacing w:lineRule="auto" w:line="240"/>
              <w:jc w:val="both"/>
              <w:rPr>
                <w:rFonts w:ascii="Verdana" w:hAnsi="Verdana"/>
              </w:rPr>
            </w:pPr>
            <w:r>
              <w:rPr>
                <w:rFonts w:ascii="Verdana" w:hAnsi="Verdana"/>
                <w:sz w:val="20"/>
              </w:rPr>
              <w:t>esterelizada por óxido de etileno</w:t>
            </w:r>
          </w:p>
          <w:p>
            <w:pPr>
              <w:pStyle w:val="Normal"/>
              <w:widowControl w:val="false"/>
              <w:spacing w:lineRule="auto" w:line="240"/>
              <w:jc w:val="both"/>
              <w:rPr>
                <w:rFonts w:ascii="Verdana" w:hAnsi="Verdana"/>
              </w:rPr>
            </w:pPr>
            <w:r>
              <w:rPr>
                <w:rFonts w:ascii="Verdana" w:hAnsi="Verdana"/>
                <w:sz w:val="20"/>
              </w:rPr>
              <w:t>caixa com 100 unidades</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80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CX</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R$ 33,98</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R$ 2.718,40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04</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CIRÚRGICA (TAMANHO G) LUVA CIRÚRGICA TAMANHO P EM LÁTEX 100% NATURAL, ANATÔMICA, PULVERIZADAS COM PÓ BIO-ABSORVÍVEL, a base de amido de milho para facilitar o calçamento; superfície microtexturizada, antideslizante, totalmente impermeável à água e a outros fluidos; bainhas reforçadas, resistente, com tensão de ruptura mínima, alta sensibilidade e conforto, com baixo teor de proteína, embalagem tipo wallet, indicando mão direita e esquerda; embalagem dopar de luvas confeccionada em pe=apel grau</w:t>
            </w:r>
          </w:p>
          <w:p>
            <w:pPr>
              <w:pStyle w:val="Normal"/>
              <w:widowControl w:val="false"/>
              <w:spacing w:lineRule="auto" w:line="240"/>
              <w:jc w:val="both"/>
              <w:rPr>
                <w:rFonts w:ascii="Verdana" w:hAnsi="Verdana"/>
              </w:rPr>
            </w:pPr>
            <w:r>
              <w:rPr>
                <w:rFonts w:ascii="Verdana" w:hAnsi="Verdana"/>
                <w:sz w:val="20"/>
              </w:rPr>
              <w:t>cirúrgico, de fácil abertura, atóxica,</w:t>
            </w:r>
          </w:p>
          <w:p>
            <w:pPr>
              <w:pStyle w:val="Normal"/>
              <w:widowControl w:val="false"/>
              <w:spacing w:lineRule="auto" w:line="240"/>
              <w:jc w:val="both"/>
              <w:rPr>
                <w:rFonts w:ascii="Verdana" w:hAnsi="Verdana"/>
              </w:rPr>
            </w:pPr>
            <w:r>
              <w:rPr>
                <w:rFonts w:ascii="Verdana" w:hAnsi="Verdana"/>
                <w:sz w:val="20"/>
              </w:rPr>
              <w:t>esterelizada por óxido de etileno</w:t>
            </w:r>
          </w:p>
          <w:p>
            <w:pPr>
              <w:pStyle w:val="Normal"/>
              <w:widowControl w:val="false"/>
              <w:spacing w:lineRule="auto" w:line="240"/>
              <w:jc w:val="both"/>
              <w:rPr>
                <w:rFonts w:ascii="Verdana" w:hAnsi="Verdana"/>
              </w:rPr>
            </w:pPr>
            <w:r>
              <w:rPr>
                <w:rFonts w:ascii="Verdana" w:hAnsi="Verdana"/>
                <w:sz w:val="20"/>
              </w:rPr>
              <w:t>caixa com 100 unidades</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80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CX</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R$ 33,98</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R$ 2.718,40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05</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TOUCA DESCARTÁVEL BRANCA TOUCA DESCARTÁVEL BRANCA SANFONADA DE TNT COM ELÁSTICO DUPLO. PACOTES COM 1.000 UNIDADES CADA.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30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CX</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R$ 124,90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R$ 3.747,00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06</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TOUCA PARA CABELO, ESPECIAL PARA COZINHEIRAS. TOUCA COZINHA TELINHA, ABA FRONTAL EM BRIM LEVE, ARREMATE</w:t>
            </w:r>
          </w:p>
          <w:p>
            <w:pPr>
              <w:pStyle w:val="Normal"/>
              <w:widowControl w:val="false"/>
              <w:spacing w:lineRule="auto" w:line="240"/>
              <w:jc w:val="both"/>
              <w:rPr>
                <w:rFonts w:ascii="Verdana" w:hAnsi="Verdana"/>
              </w:rPr>
            </w:pPr>
            <w:r>
              <w:rPr>
                <w:rFonts w:ascii="Verdana" w:hAnsi="Verdana"/>
                <w:sz w:val="20"/>
              </w:rPr>
              <w:t>EM VIÉS, COM ELÁSTICO NA NUCA, COR TELINHA BRANCA,COR DA ABA EM BRIM A DEFINIR NO PEDIDO.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R$ 19,97</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R$ 1.997,00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07</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SINALIZAÇÃO DE PROIBIÇÃO CONFORME NBR 13434</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R$ 17,90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R$ 895,00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08</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SINALIZAÇÃO DE ALERTA CONFORME NBR 13434</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R$ 17,02</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R$ 851,00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09</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SINALIZAÇÃO DE ORIENTAÇÃO ISOLAMENTO CONFORME NBR 13434</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R$ 17,90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R$ 895,00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10</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SINALIZAÇÃO DE EQUIPAMENTOS CONFORME NBR 13434</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R$ 18,20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R$ 2.730,00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11</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LUMINÁRIA DE EMERGÊNCIA, BIVOLT, AUTOMÁTICO, TEMPO DE RECARGA 24h, DURAÇÃO DA CARGA 12HS, BATERIA RECARREGÁVEL, 30 LEDS SUPER BRILHANTE - CONFORME NBR 10898.</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60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R$ 20,50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R$ 1.230,00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12</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PLACA DE SINALIZAÇÃO DE PISO MOLHADO EM COR AMARELA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R$ 24,17</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R$ 2.417,00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13</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FITA DE SINALIZAÇÃO ZEBRADA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15</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R$ 10,56</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R$ 158,40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14</w:t>
            </w:r>
          </w:p>
        </w:tc>
        <w:tc>
          <w:tcPr>
            <w:tcW w:w="4127" w:type="dxa"/>
            <w:tcBorders>
              <w:left w:val="single" w:sz="2" w:space="0" w:color="000000"/>
              <w:bottom w:val="single" w:sz="2" w:space="0" w:color="000000"/>
            </w:tcBorders>
          </w:tcPr>
          <w:p>
            <w:pPr>
              <w:pStyle w:val="Contedodatabela"/>
              <w:widowControl w:val="false"/>
              <w:spacing w:lineRule="auto" w:line="240"/>
              <w:jc w:val="both"/>
              <w:rPr>
                <w:rFonts w:ascii="Verdana" w:hAnsi="Verdana"/>
              </w:rPr>
            </w:pPr>
            <w:r>
              <w:rPr>
                <w:rFonts w:ascii="Verdana" w:hAnsi="Verdana"/>
                <w:sz w:val="20"/>
              </w:rPr>
              <w:t>CALÇADO OCUPACIONAL TIPO TÊNIS (UNISEX), BRANCO, CONFECCIONADO EM EVA, COM SOLADO EM BORRACHA, ANTIDERRAPANTE (APROVADO E RECONHECIDO PELO MINISTÉRIO DO TRABALHO), MODELO TOTALMENTE FECHADO, CANO BAIXO, IMPERMEÁVEL, ATENDENDO AS EXIGÊNCIAS DA NR-32 (NORMA REGULADORA DA ÁREA DA SAÚDE).</w:t>
              <w:br/>
              <w:br/>
              <w:t>TAMANHOS:</w:t>
            </w:r>
          </w:p>
          <w:p>
            <w:pPr>
              <w:pStyle w:val="Contedodatabela"/>
              <w:widowControl w:val="false"/>
              <w:spacing w:lineRule="auto" w:line="240"/>
              <w:jc w:val="both"/>
              <w:rPr>
                <w:rFonts w:ascii="Verdana" w:hAnsi="Verdana"/>
              </w:rPr>
            </w:pPr>
            <w:r>
              <w:rPr>
                <w:rFonts w:ascii="Verdana" w:hAnsi="Verdana"/>
                <w:sz w:val="20"/>
              </w:rPr>
              <w:br/>
              <w:t>35 -  40 pares</w:t>
            </w:r>
          </w:p>
          <w:p>
            <w:pPr>
              <w:pStyle w:val="Normal"/>
              <w:widowControl w:val="false"/>
              <w:spacing w:lineRule="auto" w:line="240"/>
              <w:rPr>
                <w:rFonts w:ascii="Verdana" w:hAnsi="Verdana"/>
              </w:rPr>
            </w:pPr>
            <w:r>
              <w:rPr>
                <w:rFonts w:ascii="Verdana" w:hAnsi="Verdana"/>
                <w:sz w:val="20"/>
              </w:rPr>
              <w:t>36 - 50 pares</w:t>
            </w:r>
          </w:p>
          <w:p>
            <w:pPr>
              <w:pStyle w:val="Normal"/>
              <w:widowControl w:val="false"/>
              <w:spacing w:lineRule="auto" w:line="240"/>
              <w:rPr>
                <w:rFonts w:ascii="Verdana" w:hAnsi="Verdana"/>
              </w:rPr>
            </w:pPr>
            <w:r>
              <w:rPr>
                <w:rFonts w:ascii="Verdana" w:hAnsi="Verdana"/>
                <w:sz w:val="20"/>
              </w:rPr>
              <w:t>37 - 50 pares</w:t>
            </w:r>
          </w:p>
          <w:p>
            <w:pPr>
              <w:pStyle w:val="Normal"/>
              <w:widowControl w:val="false"/>
              <w:spacing w:lineRule="auto" w:line="240"/>
              <w:rPr>
                <w:rFonts w:ascii="Verdana" w:hAnsi="Verdana"/>
              </w:rPr>
            </w:pPr>
            <w:r>
              <w:rPr>
                <w:rFonts w:ascii="Verdana" w:hAnsi="Verdana"/>
                <w:sz w:val="20"/>
              </w:rPr>
              <w:t>38 - 40 pares</w:t>
            </w:r>
          </w:p>
          <w:p>
            <w:pPr>
              <w:pStyle w:val="Normal"/>
              <w:widowControl w:val="false"/>
              <w:spacing w:lineRule="auto" w:line="240"/>
              <w:rPr>
                <w:rFonts w:ascii="Verdana" w:hAnsi="Verdana"/>
              </w:rPr>
            </w:pPr>
            <w:r>
              <w:rPr>
                <w:rFonts w:ascii="Verdana" w:hAnsi="Verdana"/>
                <w:sz w:val="20"/>
              </w:rPr>
              <w:t>39 - 40 pares</w:t>
            </w:r>
          </w:p>
          <w:p>
            <w:pPr>
              <w:pStyle w:val="Normal"/>
              <w:widowControl w:val="false"/>
              <w:spacing w:lineRule="auto" w:line="240"/>
              <w:rPr>
                <w:rFonts w:ascii="Verdana" w:hAnsi="Verdana"/>
              </w:rPr>
            </w:pPr>
            <w:r>
              <w:rPr>
                <w:rFonts w:ascii="Verdana" w:hAnsi="Verdana"/>
                <w:sz w:val="20"/>
              </w:rPr>
              <w:t>40 - 50 pares</w:t>
            </w:r>
          </w:p>
          <w:p>
            <w:pPr>
              <w:pStyle w:val="Normal"/>
              <w:widowControl w:val="false"/>
              <w:spacing w:lineRule="auto" w:line="240"/>
              <w:rPr>
                <w:rFonts w:ascii="Verdana" w:hAnsi="Verdana"/>
              </w:rPr>
            </w:pPr>
            <w:r>
              <w:rPr>
                <w:rFonts w:ascii="Verdana" w:hAnsi="Verdana"/>
                <w:sz w:val="20"/>
              </w:rPr>
              <w:t>41 - 50 pares</w:t>
            </w:r>
          </w:p>
          <w:p>
            <w:pPr>
              <w:pStyle w:val="Normal"/>
              <w:widowControl w:val="false"/>
              <w:spacing w:lineRule="auto" w:line="240"/>
              <w:rPr>
                <w:rFonts w:ascii="Verdana" w:hAnsi="Verdana"/>
              </w:rPr>
            </w:pPr>
            <w:r>
              <w:rPr>
                <w:rFonts w:ascii="Verdana" w:hAnsi="Verdana"/>
                <w:sz w:val="20"/>
              </w:rPr>
              <w:t>42 - 40 pares</w:t>
            </w:r>
          </w:p>
          <w:p>
            <w:pPr>
              <w:pStyle w:val="Normal"/>
              <w:widowControl w:val="false"/>
              <w:spacing w:lineRule="auto" w:line="240"/>
              <w:rPr>
                <w:rFonts w:ascii="Verdana" w:hAnsi="Verdana"/>
              </w:rPr>
            </w:pPr>
            <w:r>
              <w:rPr>
                <w:rFonts w:ascii="Verdana" w:hAnsi="Verdana"/>
                <w:sz w:val="20"/>
              </w:rPr>
              <w:t>43 - 20 pares</w:t>
            </w:r>
          </w:p>
          <w:p>
            <w:pPr>
              <w:pStyle w:val="Contedodatabela"/>
              <w:widowControl w:val="false"/>
              <w:spacing w:lineRule="auto" w:line="240"/>
              <w:jc w:val="both"/>
              <w:rPr>
                <w:rFonts w:ascii="Verdana" w:hAnsi="Verdana"/>
              </w:rPr>
            </w:pPr>
            <w:r>
              <w:rPr>
                <w:rFonts w:ascii="Verdana" w:hAnsi="Verdana"/>
                <w:sz w:val="20"/>
              </w:rPr>
              <w:t>44 - 20 pares</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400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R$ 53,70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R$ 21,480,00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15</w:t>
            </w:r>
          </w:p>
        </w:tc>
        <w:tc>
          <w:tcPr>
            <w:tcW w:w="4127" w:type="dxa"/>
            <w:tcBorders>
              <w:left w:val="single" w:sz="2" w:space="0" w:color="000000"/>
              <w:bottom w:val="single" w:sz="2" w:space="0" w:color="000000"/>
            </w:tcBorders>
          </w:tcPr>
          <w:p>
            <w:pPr>
              <w:pStyle w:val="Contedodatabela"/>
              <w:widowControl w:val="false"/>
              <w:spacing w:lineRule="auto" w:line="240"/>
              <w:jc w:val="both"/>
              <w:rPr>
                <w:rFonts w:ascii="Verdana" w:hAnsi="Verdana"/>
              </w:rPr>
            </w:pPr>
            <w:r>
              <w:rPr>
                <w:rFonts w:ascii="Verdana" w:hAnsi="Verdana"/>
                <w:sz w:val="20"/>
              </w:rPr>
              <w:t>CALÇADO DE SEGURANÇA CALÇADO OCUPACIONAL DE USO PROFISSIONAL TIPO SAPATO, FECHADO NA PARTE DO CALCANHAR E NA PARTE SUPERIOR, CONFECCIONADO EM EVA, SOLETA DE BORRACHA ANTIDERRAPANTE, RESISTENTE AO ESCORREGAMENTO EM PISO CERÂMICO COM SOLUÇÃO DE DETERGENTE E PISO DE AÇO COM SOLUÇÃO DE GLICEROL, RESISTENTE À ABSORÇÃO DE ENERGIA NA REGIÃO DO SALTO E AO ÓLEO COMBUSTÍVEL, COM PALMILHA INTERNA REMOVÍVEL.</w:t>
            </w:r>
          </w:p>
          <w:p>
            <w:pPr>
              <w:pStyle w:val="Contedodatabela"/>
              <w:widowControl w:val="false"/>
              <w:spacing w:lineRule="auto" w:line="240"/>
              <w:jc w:val="both"/>
              <w:rPr>
                <w:rFonts w:ascii="Verdana" w:hAnsi="Verdana"/>
              </w:rPr>
            </w:pPr>
            <w:r>
              <w:rPr>
                <w:rFonts w:ascii="Verdana" w:hAnsi="Verdana"/>
                <w:sz w:val="20"/>
              </w:rPr>
              <w:br/>
              <w:t>TAMANHOS:</w:t>
              <w:br/>
              <w:br/>
              <w:t>35 -  20 pares</w:t>
            </w:r>
          </w:p>
          <w:p>
            <w:pPr>
              <w:pStyle w:val="Normal"/>
              <w:widowControl w:val="false"/>
              <w:spacing w:lineRule="auto" w:line="240"/>
              <w:rPr>
                <w:rFonts w:ascii="Verdana" w:hAnsi="Verdana"/>
              </w:rPr>
            </w:pPr>
            <w:r>
              <w:rPr>
                <w:rFonts w:ascii="Verdana" w:hAnsi="Verdana"/>
                <w:sz w:val="20"/>
              </w:rPr>
              <w:t>36 -  20 pares</w:t>
            </w:r>
          </w:p>
          <w:p>
            <w:pPr>
              <w:pStyle w:val="Normal"/>
              <w:widowControl w:val="false"/>
              <w:spacing w:lineRule="auto" w:line="240"/>
              <w:rPr>
                <w:rFonts w:ascii="Verdana" w:hAnsi="Verdana"/>
              </w:rPr>
            </w:pPr>
            <w:r>
              <w:rPr>
                <w:rFonts w:ascii="Verdana" w:hAnsi="Verdana"/>
                <w:sz w:val="20"/>
              </w:rPr>
              <w:t>37 - 10 pares</w:t>
            </w:r>
          </w:p>
          <w:p>
            <w:pPr>
              <w:pStyle w:val="Normal"/>
              <w:widowControl w:val="false"/>
              <w:spacing w:lineRule="auto" w:line="240"/>
              <w:rPr>
                <w:rFonts w:ascii="Verdana" w:hAnsi="Verdana"/>
              </w:rPr>
            </w:pPr>
            <w:r>
              <w:rPr>
                <w:rFonts w:ascii="Verdana" w:hAnsi="Verdana"/>
                <w:sz w:val="20"/>
              </w:rPr>
              <w:t>38 - 10 pares</w:t>
            </w:r>
          </w:p>
          <w:p>
            <w:pPr>
              <w:pStyle w:val="Normal"/>
              <w:widowControl w:val="false"/>
              <w:spacing w:lineRule="auto" w:line="240"/>
              <w:rPr>
                <w:rFonts w:ascii="Verdana" w:hAnsi="Verdana"/>
              </w:rPr>
            </w:pPr>
            <w:r>
              <w:rPr>
                <w:rFonts w:ascii="Verdana" w:hAnsi="Verdana"/>
                <w:sz w:val="20"/>
              </w:rPr>
              <w:t>39 - 20 pares</w:t>
            </w:r>
          </w:p>
          <w:p>
            <w:pPr>
              <w:pStyle w:val="Normal"/>
              <w:widowControl w:val="false"/>
              <w:spacing w:lineRule="auto" w:line="240"/>
              <w:rPr>
                <w:rFonts w:ascii="Verdana" w:hAnsi="Verdana"/>
              </w:rPr>
            </w:pPr>
            <w:r>
              <w:rPr>
                <w:rFonts w:ascii="Verdana" w:hAnsi="Verdana"/>
                <w:sz w:val="20"/>
              </w:rPr>
              <w:t>40 - 20 pares</w:t>
            </w:r>
          </w:p>
          <w:p>
            <w:pPr>
              <w:pStyle w:val="Normal"/>
              <w:widowControl w:val="false"/>
              <w:spacing w:lineRule="auto" w:line="240"/>
              <w:rPr>
                <w:rFonts w:ascii="Verdana" w:hAnsi="Verdana"/>
              </w:rPr>
            </w:pPr>
            <w:r>
              <w:rPr>
                <w:rFonts w:ascii="Verdana" w:hAnsi="Verdana"/>
                <w:sz w:val="20"/>
              </w:rPr>
              <w:t>41 - 20 pares</w:t>
            </w:r>
          </w:p>
          <w:p>
            <w:pPr>
              <w:pStyle w:val="Normal"/>
              <w:widowControl w:val="false"/>
              <w:spacing w:lineRule="auto" w:line="240"/>
              <w:rPr>
                <w:rFonts w:ascii="Verdana" w:hAnsi="Verdana"/>
              </w:rPr>
            </w:pPr>
            <w:r>
              <w:rPr>
                <w:rFonts w:ascii="Verdana" w:hAnsi="Verdana"/>
                <w:sz w:val="20"/>
              </w:rPr>
              <w:t>42 - 20 pares</w:t>
            </w:r>
          </w:p>
          <w:p>
            <w:pPr>
              <w:pStyle w:val="Normal"/>
              <w:widowControl w:val="false"/>
              <w:spacing w:lineRule="auto" w:line="240"/>
              <w:rPr>
                <w:rFonts w:ascii="Verdana" w:hAnsi="Verdana"/>
              </w:rPr>
            </w:pPr>
            <w:r>
              <w:rPr>
                <w:rFonts w:ascii="Verdana" w:hAnsi="Verdana"/>
                <w:sz w:val="20"/>
              </w:rPr>
              <w:t>43 - 10 pares</w:t>
            </w:r>
          </w:p>
          <w:p>
            <w:pPr>
              <w:pStyle w:val="Contedodatabela"/>
              <w:widowControl w:val="false"/>
              <w:spacing w:lineRule="auto" w:line="240"/>
              <w:jc w:val="both"/>
              <w:rPr>
                <w:rFonts w:ascii="Verdana" w:hAnsi="Verdana"/>
              </w:rPr>
            </w:pPr>
            <w:r>
              <w:rPr>
                <w:rFonts w:ascii="Verdana" w:hAnsi="Verdana"/>
                <w:sz w:val="20"/>
              </w:rPr>
              <w:t>44 - 10 pares</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160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R$ 53,70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R$ 8.592,00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16</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CALÇADO DE SEGURANÇA CALÇADO OCUPACIONAL PARA USO PROFISSIONAL, TIPO BOTINA, CABEDAL CONFECCIONADO EM COURO VAQUETA, FECHAMENTO EM ELÁSTICO, COM BIQUEIRA ESTRUTURAL EM POLIPROPILENO (PP), PALMILHA DE MONTAGEM ISOLANTE MONTADA PELO SISTEMA STROBEL, PALMILHA INTERNA REMOVÍVEL, SOLADO EM POLIURETANO BIDENSIDADE INJETADO DIRETO NO CABEDAL.</w:t>
            </w:r>
          </w:p>
          <w:p>
            <w:pPr>
              <w:pStyle w:val="Normal"/>
              <w:widowControl w:val="false"/>
              <w:spacing w:lineRule="auto" w:line="240"/>
              <w:jc w:val="both"/>
              <w:rPr>
                <w:rFonts w:ascii="Verdana" w:hAnsi="Verdana"/>
              </w:rPr>
            </w:pPr>
            <w:r>
              <w:rPr>
                <w:rFonts w:ascii="Verdana" w:hAnsi="Verdana"/>
                <w:sz w:val="20"/>
              </w:rPr>
              <w:br/>
              <w:t>tamanhos:</w:t>
            </w:r>
          </w:p>
          <w:p>
            <w:pPr>
              <w:pStyle w:val="Normal"/>
              <w:widowControl w:val="false"/>
              <w:spacing w:lineRule="auto" w:line="240"/>
              <w:rPr>
                <w:rFonts w:ascii="Verdana" w:hAnsi="Verdana"/>
              </w:rPr>
            </w:pPr>
            <w:r>
              <w:rPr>
                <w:rFonts w:ascii="Verdana" w:hAnsi="Verdana"/>
                <w:sz w:val="20"/>
              </w:rPr>
              <w:t>35 - 20 pares</w:t>
            </w:r>
          </w:p>
          <w:p>
            <w:pPr>
              <w:pStyle w:val="Normal"/>
              <w:widowControl w:val="false"/>
              <w:spacing w:lineRule="auto" w:line="240"/>
              <w:rPr>
                <w:rFonts w:ascii="Verdana" w:hAnsi="Verdana"/>
              </w:rPr>
            </w:pPr>
            <w:r>
              <w:rPr>
                <w:rFonts w:ascii="Verdana" w:hAnsi="Verdana"/>
                <w:sz w:val="20"/>
              </w:rPr>
              <w:t>36 - 50 pares</w:t>
            </w:r>
          </w:p>
          <w:p>
            <w:pPr>
              <w:pStyle w:val="Normal"/>
              <w:widowControl w:val="false"/>
              <w:spacing w:lineRule="auto" w:line="240"/>
              <w:rPr>
                <w:rFonts w:ascii="Verdana" w:hAnsi="Verdana"/>
              </w:rPr>
            </w:pPr>
            <w:r>
              <w:rPr>
                <w:rFonts w:ascii="Verdana" w:hAnsi="Verdana"/>
                <w:sz w:val="20"/>
              </w:rPr>
              <w:t>37 - 40 pares</w:t>
            </w:r>
          </w:p>
          <w:p>
            <w:pPr>
              <w:pStyle w:val="Normal"/>
              <w:widowControl w:val="false"/>
              <w:spacing w:lineRule="auto" w:line="240"/>
              <w:rPr>
                <w:rFonts w:ascii="Verdana" w:hAnsi="Verdana"/>
              </w:rPr>
            </w:pPr>
            <w:r>
              <w:rPr>
                <w:rFonts w:ascii="Verdana" w:hAnsi="Verdana"/>
                <w:sz w:val="20"/>
              </w:rPr>
              <w:t>38 - 30 pares</w:t>
            </w:r>
          </w:p>
          <w:p>
            <w:pPr>
              <w:pStyle w:val="Normal"/>
              <w:widowControl w:val="false"/>
              <w:spacing w:lineRule="auto" w:line="240"/>
              <w:rPr>
                <w:rFonts w:ascii="Verdana" w:hAnsi="Verdana"/>
              </w:rPr>
            </w:pPr>
            <w:r>
              <w:rPr>
                <w:rFonts w:ascii="Verdana" w:hAnsi="Verdana"/>
                <w:sz w:val="20"/>
              </w:rPr>
              <w:t>39 - 50 pares</w:t>
            </w:r>
          </w:p>
          <w:p>
            <w:pPr>
              <w:pStyle w:val="Normal"/>
              <w:widowControl w:val="false"/>
              <w:spacing w:lineRule="auto" w:line="240"/>
              <w:rPr>
                <w:rFonts w:ascii="Verdana" w:hAnsi="Verdana"/>
              </w:rPr>
            </w:pPr>
            <w:r>
              <w:rPr>
                <w:rFonts w:ascii="Verdana" w:hAnsi="Verdana"/>
                <w:sz w:val="20"/>
              </w:rPr>
              <w:t>40 - 100 pares</w:t>
            </w:r>
          </w:p>
          <w:p>
            <w:pPr>
              <w:pStyle w:val="Normal"/>
              <w:widowControl w:val="false"/>
              <w:spacing w:lineRule="auto" w:line="240"/>
              <w:rPr>
                <w:rFonts w:ascii="Verdana" w:hAnsi="Verdana"/>
              </w:rPr>
            </w:pPr>
            <w:r>
              <w:rPr>
                <w:rFonts w:ascii="Verdana" w:hAnsi="Verdana"/>
                <w:sz w:val="20"/>
              </w:rPr>
              <w:t>41 - 100 pares</w:t>
            </w:r>
          </w:p>
          <w:p>
            <w:pPr>
              <w:pStyle w:val="Normal"/>
              <w:widowControl w:val="false"/>
              <w:spacing w:lineRule="auto" w:line="240"/>
              <w:rPr>
                <w:rFonts w:ascii="Verdana" w:hAnsi="Verdana"/>
              </w:rPr>
            </w:pPr>
            <w:r>
              <w:rPr>
                <w:rFonts w:ascii="Verdana" w:hAnsi="Verdana"/>
                <w:sz w:val="20"/>
              </w:rPr>
              <w:t>42 - 100 pares</w:t>
            </w:r>
          </w:p>
          <w:p>
            <w:pPr>
              <w:pStyle w:val="Normal"/>
              <w:widowControl w:val="false"/>
              <w:spacing w:lineRule="auto" w:line="240"/>
              <w:rPr>
                <w:rFonts w:ascii="Verdana" w:hAnsi="Verdana"/>
              </w:rPr>
            </w:pPr>
            <w:r>
              <w:rPr>
                <w:rFonts w:ascii="Verdana" w:hAnsi="Verdana"/>
                <w:sz w:val="20"/>
              </w:rPr>
              <w:t>43 - 20 pares</w:t>
            </w:r>
          </w:p>
          <w:p>
            <w:pPr>
              <w:pStyle w:val="Normal"/>
              <w:widowControl w:val="false"/>
              <w:spacing w:lineRule="auto" w:line="240"/>
              <w:jc w:val="both"/>
              <w:rPr>
                <w:rFonts w:ascii="Verdana" w:hAnsi="Verdana"/>
              </w:rPr>
            </w:pPr>
            <w:r>
              <w:rPr>
                <w:rFonts w:ascii="Verdana" w:hAnsi="Verdana"/>
                <w:sz w:val="20"/>
              </w:rPr>
              <w:t>44 - 20 pares</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530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R$ 49,99</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R$ 26.494,70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17</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BOTA DE PVC CANO LONGO COR BRANCA BOTA PVC BRANCA - FORRADA, CANO LONGO, SOLADO ANTIDERRAPANTE.</w:t>
              <w:br/>
            </w:r>
          </w:p>
          <w:p>
            <w:pPr>
              <w:pStyle w:val="Normal"/>
              <w:widowControl w:val="false"/>
              <w:spacing w:lineRule="auto" w:line="240"/>
              <w:jc w:val="both"/>
              <w:rPr>
                <w:rFonts w:ascii="Verdana" w:hAnsi="Verdana"/>
              </w:rPr>
            </w:pPr>
            <w:r>
              <w:rPr>
                <w:rFonts w:ascii="Verdana" w:hAnsi="Verdana"/>
                <w:sz w:val="20"/>
              </w:rPr>
              <w:t>tamanhos:</w:t>
            </w:r>
          </w:p>
          <w:p>
            <w:pPr>
              <w:pStyle w:val="Normal"/>
              <w:widowControl w:val="false"/>
              <w:spacing w:lineRule="auto" w:line="240"/>
              <w:jc w:val="both"/>
              <w:rPr>
                <w:rFonts w:ascii="Verdana" w:hAnsi="Verdana"/>
              </w:rPr>
            </w:pPr>
            <w:r>
              <w:rPr>
                <w:rFonts w:ascii="Verdana" w:hAnsi="Verdana"/>
                <w:sz w:val="20"/>
              </w:rPr>
              <w:t>35 - 20 pares</w:t>
            </w:r>
          </w:p>
          <w:p>
            <w:pPr>
              <w:pStyle w:val="Normal"/>
              <w:widowControl w:val="false"/>
              <w:spacing w:lineRule="auto" w:line="240"/>
              <w:jc w:val="both"/>
              <w:rPr>
                <w:rFonts w:ascii="Verdana" w:hAnsi="Verdana"/>
              </w:rPr>
            </w:pPr>
            <w:r>
              <w:rPr>
                <w:rFonts w:ascii="Verdana" w:hAnsi="Verdana"/>
                <w:sz w:val="20"/>
              </w:rPr>
              <w:t>36 - 40 pares</w:t>
            </w:r>
          </w:p>
          <w:p>
            <w:pPr>
              <w:pStyle w:val="Normal"/>
              <w:widowControl w:val="false"/>
              <w:spacing w:lineRule="auto" w:line="240"/>
              <w:jc w:val="both"/>
              <w:rPr>
                <w:rFonts w:ascii="Verdana" w:hAnsi="Verdana"/>
              </w:rPr>
            </w:pPr>
            <w:r>
              <w:rPr>
                <w:rFonts w:ascii="Verdana" w:hAnsi="Verdana"/>
                <w:sz w:val="20"/>
              </w:rPr>
              <w:t>37 - 30 pares</w:t>
            </w:r>
          </w:p>
          <w:p>
            <w:pPr>
              <w:pStyle w:val="Normal"/>
              <w:widowControl w:val="false"/>
              <w:spacing w:lineRule="auto" w:line="240"/>
              <w:jc w:val="both"/>
              <w:rPr>
                <w:rFonts w:ascii="Verdana" w:hAnsi="Verdana"/>
              </w:rPr>
            </w:pPr>
            <w:r>
              <w:rPr>
                <w:rFonts w:ascii="Verdana" w:hAnsi="Verdana"/>
                <w:sz w:val="20"/>
              </w:rPr>
              <w:t>38 - 40 pares</w:t>
            </w:r>
          </w:p>
          <w:p>
            <w:pPr>
              <w:pStyle w:val="Normal"/>
              <w:widowControl w:val="false"/>
              <w:spacing w:lineRule="auto" w:line="240"/>
              <w:jc w:val="both"/>
              <w:rPr>
                <w:rFonts w:ascii="Verdana" w:hAnsi="Verdana"/>
              </w:rPr>
            </w:pPr>
            <w:r>
              <w:rPr>
                <w:rFonts w:ascii="Verdana" w:hAnsi="Verdana"/>
                <w:sz w:val="20"/>
              </w:rPr>
              <w:t>39 - 40 pares</w:t>
            </w:r>
          </w:p>
          <w:p>
            <w:pPr>
              <w:pStyle w:val="Normal"/>
              <w:widowControl w:val="false"/>
              <w:spacing w:lineRule="auto" w:line="240"/>
              <w:jc w:val="both"/>
              <w:rPr>
                <w:rFonts w:ascii="Verdana" w:hAnsi="Verdana"/>
              </w:rPr>
            </w:pPr>
            <w:r>
              <w:rPr>
                <w:rFonts w:ascii="Verdana" w:hAnsi="Verdana"/>
                <w:sz w:val="20"/>
              </w:rPr>
              <w:t>40 - 50 pares</w:t>
            </w:r>
          </w:p>
          <w:p>
            <w:pPr>
              <w:pStyle w:val="Normal"/>
              <w:widowControl w:val="false"/>
              <w:spacing w:lineRule="auto" w:line="240"/>
              <w:jc w:val="both"/>
              <w:rPr>
                <w:rFonts w:ascii="Verdana" w:hAnsi="Verdana"/>
              </w:rPr>
            </w:pPr>
            <w:r>
              <w:rPr>
                <w:rFonts w:ascii="Verdana" w:hAnsi="Verdana"/>
                <w:sz w:val="20"/>
              </w:rPr>
              <w:t>41 - 50 pares</w:t>
            </w:r>
          </w:p>
          <w:p>
            <w:pPr>
              <w:pStyle w:val="Normal"/>
              <w:widowControl w:val="false"/>
              <w:spacing w:lineRule="auto" w:line="240"/>
              <w:jc w:val="both"/>
              <w:rPr>
                <w:rFonts w:ascii="Verdana" w:hAnsi="Verdana"/>
              </w:rPr>
            </w:pPr>
            <w:r>
              <w:rPr>
                <w:rFonts w:ascii="Verdana" w:hAnsi="Verdana"/>
                <w:sz w:val="20"/>
              </w:rPr>
              <w:t>42 - 50 pares</w:t>
            </w:r>
          </w:p>
          <w:p>
            <w:pPr>
              <w:pStyle w:val="Normal"/>
              <w:widowControl w:val="false"/>
              <w:spacing w:lineRule="auto" w:line="240"/>
              <w:jc w:val="both"/>
              <w:rPr>
                <w:rFonts w:ascii="Verdana" w:hAnsi="Verdana"/>
              </w:rPr>
            </w:pPr>
            <w:r>
              <w:rPr>
                <w:rFonts w:ascii="Verdana" w:hAnsi="Verdana"/>
                <w:sz w:val="20"/>
              </w:rPr>
              <w:t>43 - 20 pares</w:t>
            </w:r>
          </w:p>
          <w:p>
            <w:pPr>
              <w:pStyle w:val="Normal"/>
              <w:widowControl w:val="false"/>
              <w:spacing w:lineRule="auto" w:line="240"/>
              <w:jc w:val="both"/>
              <w:rPr>
                <w:rFonts w:ascii="Verdana" w:hAnsi="Verdana"/>
              </w:rPr>
            </w:pPr>
            <w:r>
              <w:rPr>
                <w:rFonts w:ascii="Verdana" w:hAnsi="Verdana"/>
                <w:sz w:val="20"/>
              </w:rPr>
              <w:t>44 - 20 pares</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360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R$ 44,00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R$ 15.840,00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18</w:t>
            </w:r>
          </w:p>
        </w:tc>
        <w:tc>
          <w:tcPr>
            <w:tcW w:w="4127" w:type="dxa"/>
            <w:tcBorders>
              <w:left w:val="single" w:sz="2" w:space="0" w:color="000000"/>
              <w:bottom w:val="single" w:sz="2" w:space="0" w:color="000000"/>
            </w:tcBorders>
          </w:tcPr>
          <w:p>
            <w:pPr>
              <w:pStyle w:val="Contedodatabela"/>
              <w:widowControl w:val="false"/>
              <w:snapToGrid w:val="false"/>
              <w:spacing w:lineRule="auto" w:line="240"/>
              <w:jc w:val="both"/>
              <w:rPr>
                <w:rFonts w:ascii="Verdana" w:hAnsi="Verdana"/>
              </w:rPr>
            </w:pPr>
            <w:r>
              <w:rPr>
                <w:rFonts w:ascii="Verdana" w:hAnsi="Verdana"/>
                <w:kern w:val="2"/>
                <w:sz w:val="20"/>
              </w:rPr>
              <w:t>UNIFORME CAMISA AMARELA COM FAIXA REFLETIVA (CA 43986)</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140</w:t>
            </w:r>
          </w:p>
        </w:tc>
        <w:tc>
          <w:tcPr>
            <w:tcW w:w="949"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kern w:val="2"/>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R$ 103,98</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R$ 14.557,20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19</w:t>
            </w:r>
          </w:p>
        </w:tc>
        <w:tc>
          <w:tcPr>
            <w:tcW w:w="4127" w:type="dxa"/>
            <w:tcBorders>
              <w:left w:val="single" w:sz="2" w:space="0" w:color="000000"/>
              <w:bottom w:val="single" w:sz="2" w:space="0" w:color="000000"/>
            </w:tcBorders>
          </w:tcPr>
          <w:p>
            <w:pPr>
              <w:pStyle w:val="Contedodatabela"/>
              <w:widowControl w:val="false"/>
              <w:snapToGrid w:val="false"/>
              <w:spacing w:lineRule="auto" w:line="240"/>
              <w:jc w:val="both"/>
              <w:rPr>
                <w:rFonts w:ascii="Verdana" w:hAnsi="Verdana"/>
              </w:rPr>
            </w:pPr>
            <w:r>
              <w:rPr>
                <w:rFonts w:ascii="Verdana" w:hAnsi="Verdana"/>
                <w:kern w:val="2"/>
                <w:sz w:val="20"/>
              </w:rPr>
              <w:t>CAMISA MANGA LONGA P (COM PROTEÇÃO UV FPU50+)</w:t>
            </w:r>
          </w:p>
          <w:p>
            <w:pPr>
              <w:pStyle w:val="Contedodatabela"/>
              <w:widowControl w:val="false"/>
              <w:snapToGrid w:val="false"/>
              <w:spacing w:lineRule="auto" w:line="240"/>
              <w:jc w:val="both"/>
              <w:rPr>
                <w:rFonts w:ascii="Verdana" w:hAnsi="Verdana"/>
              </w:rPr>
            </w:pPr>
            <w:r>
              <w:rPr>
                <w:rFonts w:ascii="Verdana" w:hAnsi="Verdana"/>
                <w:kern w:val="2"/>
                <w:sz w:val="20"/>
              </w:rPr>
              <w:t>MATERIAL 90% POLIAMIDA E 10% ELASTANO, ADEQUADA</w:t>
            </w:r>
          </w:p>
          <w:p>
            <w:pPr>
              <w:pStyle w:val="Contedodatabela"/>
              <w:widowControl w:val="false"/>
              <w:snapToGrid w:val="false"/>
              <w:spacing w:lineRule="auto" w:line="240"/>
              <w:jc w:val="both"/>
              <w:rPr>
                <w:rFonts w:ascii="Verdana" w:hAnsi="Verdana"/>
              </w:rPr>
            </w:pPr>
            <w:r>
              <w:rPr>
                <w:rFonts w:ascii="Verdana" w:hAnsi="Verdana"/>
                <w:kern w:val="2"/>
                <w:sz w:val="20"/>
              </w:rPr>
              <w:t>PARA EXPOSIÇÃO AO SOL (FONTES NATURAIS DE EMISSÃO</w:t>
            </w:r>
          </w:p>
          <w:p>
            <w:pPr>
              <w:pStyle w:val="Contedodatabela"/>
              <w:widowControl w:val="false"/>
              <w:snapToGrid w:val="false"/>
              <w:spacing w:lineRule="auto" w:line="240"/>
              <w:jc w:val="both"/>
              <w:rPr>
                <w:rFonts w:ascii="Verdana" w:hAnsi="Verdana"/>
              </w:rPr>
            </w:pPr>
            <w:r>
              <w:rPr>
                <w:rFonts w:ascii="Verdana" w:hAnsi="Verdana"/>
                <w:kern w:val="2"/>
                <w:sz w:val="20"/>
              </w:rPr>
              <w:t>UV), FÁCIL DISPERSÃO DE SUOR, DISPENSA O USO DE FERRO</w:t>
            </w:r>
          </w:p>
          <w:p>
            <w:pPr>
              <w:pStyle w:val="Contedodatabela"/>
              <w:widowControl w:val="false"/>
              <w:snapToGrid w:val="false"/>
              <w:spacing w:lineRule="auto" w:line="240"/>
              <w:jc w:val="both"/>
              <w:rPr>
                <w:rFonts w:ascii="Verdana" w:hAnsi="Verdana"/>
              </w:rPr>
            </w:pPr>
            <w:r>
              <w:rPr>
                <w:rFonts w:ascii="Verdana" w:hAnsi="Verdana"/>
                <w:kern w:val="2"/>
                <w:sz w:val="20"/>
              </w:rPr>
              <w:t>DE PASSAR, COR PRETO.</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10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R$ 49,00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R$490,00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20</w:t>
            </w:r>
          </w:p>
        </w:tc>
        <w:tc>
          <w:tcPr>
            <w:tcW w:w="4127" w:type="dxa"/>
            <w:tcBorders>
              <w:left w:val="single" w:sz="2" w:space="0" w:color="000000"/>
              <w:bottom w:val="single" w:sz="2" w:space="0" w:color="000000"/>
            </w:tcBorders>
          </w:tcPr>
          <w:p>
            <w:pPr>
              <w:pStyle w:val="Contedodatabela"/>
              <w:widowControl w:val="false"/>
              <w:snapToGrid w:val="false"/>
              <w:spacing w:lineRule="auto" w:line="240"/>
              <w:jc w:val="both"/>
              <w:rPr>
                <w:rFonts w:ascii="Verdana" w:hAnsi="Verdana"/>
              </w:rPr>
            </w:pPr>
            <w:r>
              <w:rPr>
                <w:rFonts w:ascii="Verdana" w:hAnsi="Verdana"/>
                <w:kern w:val="2"/>
                <w:sz w:val="20"/>
              </w:rPr>
              <w:t>CAMISA MANGA LONGA M (COM PROTEÇÃO UV FPU50+)</w:t>
            </w:r>
          </w:p>
          <w:p>
            <w:pPr>
              <w:pStyle w:val="Contedodatabela"/>
              <w:widowControl w:val="false"/>
              <w:snapToGrid w:val="false"/>
              <w:spacing w:lineRule="auto" w:line="240"/>
              <w:jc w:val="both"/>
              <w:rPr>
                <w:rFonts w:ascii="Verdana" w:hAnsi="Verdana"/>
              </w:rPr>
            </w:pPr>
            <w:r>
              <w:rPr>
                <w:rFonts w:ascii="Verdana" w:hAnsi="Verdana"/>
                <w:kern w:val="2"/>
                <w:sz w:val="20"/>
              </w:rPr>
              <w:t>MATERIAL 90% POLIAMIDA E 10% ELASTANO, ADEQUADA</w:t>
            </w:r>
          </w:p>
          <w:p>
            <w:pPr>
              <w:pStyle w:val="Contedodatabela"/>
              <w:widowControl w:val="false"/>
              <w:snapToGrid w:val="false"/>
              <w:spacing w:lineRule="auto" w:line="240"/>
              <w:jc w:val="both"/>
              <w:rPr>
                <w:rFonts w:ascii="Verdana" w:hAnsi="Verdana"/>
              </w:rPr>
            </w:pPr>
            <w:r>
              <w:rPr>
                <w:rFonts w:ascii="Verdana" w:hAnsi="Verdana"/>
                <w:kern w:val="2"/>
                <w:sz w:val="20"/>
              </w:rPr>
              <w:t>PARA EXPOSIÇÃO AO SOL (FONTES NATURAIS DE EMISSÃO</w:t>
            </w:r>
          </w:p>
          <w:p>
            <w:pPr>
              <w:pStyle w:val="Contedodatabela"/>
              <w:widowControl w:val="false"/>
              <w:snapToGrid w:val="false"/>
              <w:spacing w:lineRule="auto" w:line="240"/>
              <w:jc w:val="both"/>
              <w:rPr>
                <w:rFonts w:ascii="Verdana" w:hAnsi="Verdana"/>
              </w:rPr>
            </w:pPr>
            <w:r>
              <w:rPr>
                <w:rFonts w:ascii="Verdana" w:hAnsi="Verdana"/>
                <w:kern w:val="2"/>
                <w:sz w:val="20"/>
              </w:rPr>
              <w:t>UV), FÁCIL DISPERSÃO DE SUOR, DISPENSA O USO DE FERRO</w:t>
            </w:r>
          </w:p>
          <w:p>
            <w:pPr>
              <w:pStyle w:val="Contedodatabela"/>
              <w:widowControl w:val="false"/>
              <w:snapToGrid w:val="false"/>
              <w:spacing w:lineRule="auto" w:line="240"/>
              <w:jc w:val="both"/>
              <w:rPr>
                <w:rFonts w:ascii="Verdana" w:hAnsi="Verdana"/>
              </w:rPr>
            </w:pPr>
            <w:r>
              <w:rPr>
                <w:rFonts w:ascii="Verdana" w:hAnsi="Verdana"/>
                <w:kern w:val="2"/>
                <w:sz w:val="20"/>
              </w:rPr>
              <w:t>DE PASSAR, COR PRETO.</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30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R$ 49,00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R$ 1.470,00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21</w:t>
            </w:r>
          </w:p>
        </w:tc>
        <w:tc>
          <w:tcPr>
            <w:tcW w:w="4127" w:type="dxa"/>
            <w:tcBorders>
              <w:left w:val="single" w:sz="2" w:space="0" w:color="000000"/>
              <w:bottom w:val="single" w:sz="2" w:space="0" w:color="000000"/>
            </w:tcBorders>
          </w:tcPr>
          <w:p>
            <w:pPr>
              <w:pStyle w:val="Contedodatabela"/>
              <w:widowControl w:val="false"/>
              <w:snapToGrid w:val="false"/>
              <w:spacing w:lineRule="auto" w:line="240"/>
              <w:jc w:val="both"/>
              <w:rPr>
                <w:rFonts w:ascii="Verdana" w:hAnsi="Verdana"/>
              </w:rPr>
            </w:pPr>
            <w:r>
              <w:rPr>
                <w:rFonts w:ascii="Verdana" w:hAnsi="Verdana"/>
                <w:kern w:val="2"/>
                <w:sz w:val="20"/>
              </w:rPr>
              <w:t>CAMISA MANGA LONGA G (COM PROTEÇÃO UV FPU50+)</w:t>
            </w:r>
          </w:p>
          <w:p>
            <w:pPr>
              <w:pStyle w:val="Contedodatabela"/>
              <w:widowControl w:val="false"/>
              <w:snapToGrid w:val="false"/>
              <w:spacing w:lineRule="auto" w:line="240"/>
              <w:jc w:val="both"/>
              <w:rPr>
                <w:rFonts w:ascii="Verdana" w:hAnsi="Verdana"/>
              </w:rPr>
            </w:pPr>
            <w:r>
              <w:rPr>
                <w:rFonts w:ascii="Verdana" w:hAnsi="Verdana"/>
                <w:kern w:val="2"/>
                <w:sz w:val="20"/>
              </w:rPr>
              <w:t>MATERIAL 90% POLIAMIDA E 10% ELASTANO, ADEQUADA</w:t>
            </w:r>
          </w:p>
          <w:p>
            <w:pPr>
              <w:pStyle w:val="Contedodatabela"/>
              <w:widowControl w:val="false"/>
              <w:snapToGrid w:val="false"/>
              <w:spacing w:lineRule="auto" w:line="240"/>
              <w:jc w:val="both"/>
              <w:rPr>
                <w:rFonts w:ascii="Verdana" w:hAnsi="Verdana"/>
              </w:rPr>
            </w:pPr>
            <w:r>
              <w:rPr>
                <w:rFonts w:ascii="Verdana" w:hAnsi="Verdana"/>
                <w:kern w:val="2"/>
                <w:sz w:val="20"/>
              </w:rPr>
              <w:t>PARA EXPOSIÇÃO AO SOL (FONTES NATURAIS DE EMISSÃO</w:t>
            </w:r>
          </w:p>
          <w:p>
            <w:pPr>
              <w:pStyle w:val="Contedodatabela"/>
              <w:widowControl w:val="false"/>
              <w:snapToGrid w:val="false"/>
              <w:spacing w:lineRule="auto" w:line="240"/>
              <w:jc w:val="both"/>
              <w:rPr>
                <w:rFonts w:ascii="Verdana" w:hAnsi="Verdana"/>
              </w:rPr>
            </w:pPr>
            <w:r>
              <w:rPr>
                <w:rFonts w:ascii="Verdana" w:hAnsi="Verdana"/>
                <w:kern w:val="2"/>
                <w:sz w:val="20"/>
              </w:rPr>
              <w:t>UV), FÁCIL DISPERSÃO DE SUOR, DISPENSA O USO DE FERRO</w:t>
            </w:r>
          </w:p>
          <w:p>
            <w:pPr>
              <w:pStyle w:val="Contedodatabela"/>
              <w:widowControl w:val="false"/>
              <w:snapToGrid w:val="false"/>
              <w:spacing w:lineRule="auto" w:line="240"/>
              <w:jc w:val="both"/>
              <w:rPr>
                <w:rFonts w:ascii="Verdana" w:hAnsi="Verdana"/>
              </w:rPr>
            </w:pPr>
            <w:r>
              <w:rPr>
                <w:rFonts w:ascii="Verdana" w:hAnsi="Verdana"/>
                <w:kern w:val="2"/>
                <w:sz w:val="20"/>
              </w:rPr>
              <w:t>DE PASSAR, COR PRETO.</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20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R$ 49,00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R$ 980,00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22</w:t>
            </w:r>
          </w:p>
        </w:tc>
        <w:tc>
          <w:tcPr>
            <w:tcW w:w="4127" w:type="dxa"/>
            <w:tcBorders>
              <w:left w:val="single" w:sz="2" w:space="0" w:color="000000"/>
              <w:bottom w:val="single" w:sz="2" w:space="0" w:color="000000"/>
            </w:tcBorders>
          </w:tcPr>
          <w:p>
            <w:pPr>
              <w:pStyle w:val="Contedodatabela"/>
              <w:widowControl w:val="false"/>
              <w:snapToGrid w:val="false"/>
              <w:spacing w:lineRule="auto" w:line="240"/>
              <w:jc w:val="both"/>
              <w:rPr>
                <w:rFonts w:ascii="Verdana" w:hAnsi="Verdana"/>
              </w:rPr>
            </w:pPr>
            <w:r>
              <w:rPr>
                <w:rFonts w:ascii="Verdana" w:hAnsi="Verdana"/>
                <w:kern w:val="2"/>
                <w:sz w:val="20"/>
              </w:rPr>
              <w:t>CAMISA MANGA LONGA GG (COM PROTEÇÃO UV FPU50+)</w:t>
            </w:r>
          </w:p>
          <w:p>
            <w:pPr>
              <w:pStyle w:val="Contedodatabela"/>
              <w:widowControl w:val="false"/>
              <w:snapToGrid w:val="false"/>
              <w:spacing w:lineRule="auto" w:line="240"/>
              <w:jc w:val="both"/>
              <w:rPr>
                <w:rFonts w:ascii="Verdana" w:hAnsi="Verdana"/>
              </w:rPr>
            </w:pPr>
            <w:r>
              <w:rPr>
                <w:rFonts w:ascii="Verdana" w:hAnsi="Verdana"/>
                <w:kern w:val="2"/>
                <w:sz w:val="20"/>
              </w:rPr>
              <w:t>MATERIAL 90% POLIAMIDA E 10% ELASTANO, ADEQUADA</w:t>
            </w:r>
          </w:p>
          <w:p>
            <w:pPr>
              <w:pStyle w:val="Contedodatabela"/>
              <w:widowControl w:val="false"/>
              <w:snapToGrid w:val="false"/>
              <w:spacing w:lineRule="auto" w:line="240"/>
              <w:jc w:val="both"/>
              <w:rPr>
                <w:rFonts w:ascii="Verdana" w:hAnsi="Verdana"/>
              </w:rPr>
            </w:pPr>
            <w:r>
              <w:rPr>
                <w:rFonts w:ascii="Verdana" w:hAnsi="Verdana"/>
                <w:kern w:val="2"/>
                <w:sz w:val="20"/>
              </w:rPr>
              <w:t>PARA EXPOSIÇÃO AO SOL (FONTES NATURAIS DE EMISSÃO</w:t>
            </w:r>
          </w:p>
          <w:p>
            <w:pPr>
              <w:pStyle w:val="Contedodatabela"/>
              <w:widowControl w:val="false"/>
              <w:snapToGrid w:val="false"/>
              <w:spacing w:lineRule="auto" w:line="240"/>
              <w:jc w:val="both"/>
              <w:rPr>
                <w:rFonts w:ascii="Verdana" w:hAnsi="Verdana"/>
              </w:rPr>
            </w:pPr>
            <w:r>
              <w:rPr>
                <w:rFonts w:ascii="Verdana" w:hAnsi="Verdana"/>
                <w:kern w:val="2"/>
                <w:sz w:val="20"/>
              </w:rPr>
              <w:t>UV), FÁCIL DISPERSÃO DE SUOR, DISPENSA O USO DE FERRO</w:t>
            </w:r>
          </w:p>
          <w:p>
            <w:pPr>
              <w:pStyle w:val="Contedodatabela"/>
              <w:widowControl w:val="false"/>
              <w:snapToGrid w:val="false"/>
              <w:spacing w:lineRule="auto" w:line="240"/>
              <w:jc w:val="both"/>
              <w:rPr>
                <w:rFonts w:ascii="Verdana" w:hAnsi="Verdana"/>
              </w:rPr>
            </w:pPr>
            <w:r>
              <w:rPr>
                <w:rFonts w:ascii="Verdana" w:hAnsi="Verdana"/>
                <w:kern w:val="2"/>
                <w:sz w:val="20"/>
              </w:rPr>
              <w:t>DE PASSAR, COR PRETO.</w:t>
            </w:r>
          </w:p>
        </w:tc>
        <w:tc>
          <w:tcPr>
            <w:tcW w:w="1151" w:type="dxa"/>
            <w:tcBorders>
              <w:left w:val="single" w:sz="2" w:space="0" w:color="000000"/>
              <w:bottom w:val="single" w:sz="2" w:space="0" w:color="000000"/>
            </w:tcBorders>
          </w:tcPr>
          <w:p>
            <w:pPr>
              <w:pStyle w:val="Contedodatabela"/>
              <w:widowControl w:val="false"/>
              <w:snapToGrid w:val="false"/>
              <w:spacing w:lineRule="auto" w:line="240"/>
              <w:jc w:val="center"/>
              <w:rPr>
                <w:rFonts w:ascii="Verdana" w:hAnsi="Verdana"/>
              </w:rPr>
            </w:pPr>
            <w:r>
              <w:rPr>
                <w:rFonts w:ascii="Verdana" w:hAnsi="Verdana"/>
                <w:sz w:val="20"/>
              </w:rPr>
              <w:t>10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R$ 49,00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R$ 490,00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23</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ÓCULOS DE SEGURANÇA COM ARMAÇÃO E VISOR CONFECCIONADO EM ÚNICA PEÇA DE POLICARBONATO, HASTES DO MESMO MATERIAL DO TIPO, ESPÁTULA COM SEIS FENDAS PARA VENTILAÇÃO, LENTES COM TRATAMENTO CONTRA RISCOS E ARRANHÕES, LENTES INCOLOR/PLUMBIFERO ANTIEMBAÇANTE, COM FENDAS DE VENTILAÇÃO.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200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R$ 4,04</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R$ 808,00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24</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ÓCULOS DE SEGURANÇA COM ARMAÇÃO E VISOR CONFECCIONADO EM ÚNICA PEÇA DE POLICARBONATO, HASTES DO MESMO TIPO, ESPÁTULA COM SEIS FENDAS PARA VENTILAÇÃO, LENTES COM TRATAMENTO CONTRA RISCOS E ARRANHÕES, LENTES ESCURAS ANTIEMBAÇANTE, COM FENDAS DE VENTILAÇÃO.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R$ 6,00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R$ 300,00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25</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ÓCULOS DE SEGURANÇA COM ARMAÇÃO E VISOR CONFECCIONADO EM ÚNICA PEÇA DE POLICARBONATO, HASTES  DO MESMO MATERIAL DO TIPO, ESPÁTULA COM SEIS FENDAS PARA VENTILAÇÃO, LENTES COM TRATAMENTO CONTRA RISCOS E ARRANHÕES, LENTES TIPO FUMÊ CINZA ANTIEMBAÇANTE, COM FENDAS DE VENTILAÇÃO.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R$ 200,00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26</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PROTETOR AURICULAR DE SILICONE TIPO PLUG DE 15 DB</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60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R$1,96</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R$ 117,60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27</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PROTETOR AURICULAR TIPO CONCHA COM IGUAL OU SUPERIOR A 15db  (NRRSF 16)</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150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R$ 21,00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R$ 3.150,00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28</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CAPACETE DE SEGURANÇA VENTILADO COM CATRACA E JUGULAR</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30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R$ 37,59</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R$ 1.127,70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29</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PIGMENTADA DE ALGODÃO LUVA DE SEGURANÇA TRICOTADA EM FIBRAS NATURAIS E FIBRAS SINTÉTICAS, 7 GAUGE, PIGMENTOS EM PVC NA PALMA, PUNHO COM FIBRAS ELÁSTICAS E ACABAMENTO EM FIBRAS SINTÉTICAS.</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100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R$ 2,08</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R$ 208,00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30</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MÁSCARA RESPIRATÓRIA DESCARTÁVEL (PFF2)</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R$ 1,15</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R$ 57,50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31</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MÁSCARA RESPIRATÓRIA DESCARTÁVEL (PFF1)</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R$ 50,00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32</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MÁSCARA RESPIRATÓRIA COM FILTRO QUÍMICO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R$ 37,79</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R$ 1.889,50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33</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QUÍMICA (CREME DE PROTEÇÃO)</w:t>
            </w:r>
          </w:p>
        </w:tc>
        <w:tc>
          <w:tcPr>
            <w:tcW w:w="1151"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120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R$ 7,17</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R$ 860,40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34</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PROTETOR SOLAR PARA PELE EM CREME, FATOR DE PROTEÇÃO FPS 60, FRASCO PLÁSTICO COM NO MÍNIMO 120ML COM TAMPA FLIP-TOP, PROTEÇÃO CONTRA UVA E UVB, LIVRE DE ÓLEOS MINERAIS E HIPOALERGENICOS. (VENCIMENTO 2027-2028)</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800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R$ 24,80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R$ 19.840,00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35</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PROTETOR SOLAR FACIAL FPS 30 PROTEÇÃO UVA+WB COMPLETA E IMEDIATA (VENCIMENTO 2027-2028)</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300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R$ 14,00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R$ 4.200,00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36</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PROTETOR SOLAR FACIAL FPS 60 PROTEÇÃO UVA+WB COMPLETA E IMEDIATA (VENCIMENTO 2027-2028)</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120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R$ 30,90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R$ 3.708,00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37</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PROTETOR SOLAR FACIAL FPS 90 PROTEÇÃO UVA+WB COMPLETA E IMEDIATA (VENCIMENTO 2027-2028)</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120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R$ 44,90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R$ 5.388,00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38</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MÁSCARA DE SOLDA PROFISSIONAL ESCURECIMENTO AUTOMÁTICO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03</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R$ 180,77</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R$ 542,31</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39</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AVENTAL DE RASPA OU COURO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30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R$ 43,99</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R$ 1.319,70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40</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AVENTAL DE SEGURANÇA IMPERMEÁVEL, PVC FORRADO COM POLIÉSTER PARA COZINHA INDUSTRIAL, COR BRANCO.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R$ 8,80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R$ 440,00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41</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MANGOTE DE RASPA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32,65</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R$ 326,50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42</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CAPA DE CHUVA EM PVC COM FORRO E MANGA (TAMANHO G)</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160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R$ 18,60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R$ 2.976,00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43</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BONÉ ÁRABE DE PROTEÇÃO EM HELANCA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50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R$ 17,31</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R$ 865,50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44</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LUVA ISOLANTE DE BORRACHA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R$ 189,00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R$ 1.890,00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45</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FITA DE ANCORAGEM 120 CM, 24 KN</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10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R$ 31,18</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R$ 311,80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46</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MOSQUETÃO EM AÇO COM TRAVA DUPLA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05</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R$ 21,00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R$ 105,00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47</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TALABARTE Y COM ABS</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05</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R$ 175,00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R$ 875,00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48</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TRAVA QUEDA RETRÁTIL DE 2,5MTS</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05</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R$ 45,00</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R$ 225,00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49</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TALABARTE EM CORDA COM REGULAGEM DE DISTÂNCIA</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05</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R$ 144,92</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R$ 724,60</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50</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CINTO PARAQUEDISTA 3 PONTAS DE FITA DE POLIÉSTER</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05</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UND</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R$ 127,39</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R$ 636,95</w:t>
            </w:r>
          </w:p>
        </w:tc>
      </w:tr>
      <w:tr>
        <w:trPr/>
        <w:tc>
          <w:tcPr>
            <w:tcW w:w="846" w:type="dxa"/>
            <w:tcBorders>
              <w:left w:val="single" w:sz="2" w:space="0" w:color="000000"/>
              <w:bottom w:val="single" w:sz="2" w:space="0" w:color="000000"/>
            </w:tcBorders>
          </w:tcPr>
          <w:p>
            <w:pPr>
              <w:pStyle w:val="Normal"/>
              <w:widowControl w:val="false"/>
              <w:suppressAutoHyphens w:val="false"/>
              <w:spacing w:lineRule="auto" w:line="240"/>
              <w:jc w:val="both"/>
              <w:rPr>
                <w:rFonts w:ascii="Verdana" w:hAnsi="Verdana"/>
              </w:rPr>
            </w:pPr>
            <w:r>
              <w:rPr>
                <w:rFonts w:ascii="Verdana" w:hAnsi="Verdana"/>
                <w:b/>
                <w:bCs/>
                <w:sz w:val="20"/>
              </w:rPr>
              <w:t>51</w:t>
            </w:r>
          </w:p>
        </w:tc>
        <w:tc>
          <w:tcPr>
            <w:tcW w:w="4127" w:type="dxa"/>
            <w:tcBorders>
              <w:left w:val="single" w:sz="2" w:space="0" w:color="000000"/>
              <w:bottom w:val="single" w:sz="2" w:space="0" w:color="000000"/>
            </w:tcBorders>
          </w:tcPr>
          <w:p>
            <w:pPr>
              <w:pStyle w:val="Normal"/>
              <w:widowControl w:val="false"/>
              <w:spacing w:lineRule="auto" w:line="240"/>
              <w:jc w:val="both"/>
              <w:rPr>
                <w:rFonts w:ascii="Verdana" w:hAnsi="Verdana"/>
              </w:rPr>
            </w:pPr>
            <w:r>
              <w:rPr>
                <w:rFonts w:ascii="Verdana" w:hAnsi="Verdana"/>
                <w:sz w:val="20"/>
              </w:rPr>
              <w:t>PERNEIRAS DE PROTEÇÃO IMPERMEÁVEL DE COURO</w:t>
            </w:r>
          </w:p>
        </w:tc>
        <w:tc>
          <w:tcPr>
            <w:tcW w:w="1151" w:type="dxa"/>
            <w:tcBorders>
              <w:left w:val="single" w:sz="2" w:space="0" w:color="000000"/>
              <w:bottom w:val="single" w:sz="2" w:space="0" w:color="000000"/>
            </w:tcBorders>
          </w:tcPr>
          <w:p>
            <w:pPr>
              <w:pStyle w:val="Normal"/>
              <w:widowControl w:val="false"/>
              <w:snapToGrid w:val="false"/>
              <w:spacing w:lineRule="auto" w:line="240"/>
              <w:jc w:val="center"/>
              <w:rPr>
                <w:rFonts w:ascii="Verdana" w:hAnsi="Verdana"/>
              </w:rPr>
            </w:pPr>
            <w:r>
              <w:rPr>
                <w:rFonts w:ascii="Verdana" w:hAnsi="Verdana"/>
                <w:sz w:val="20"/>
              </w:rPr>
              <w:t>30</w:t>
            </w:r>
          </w:p>
        </w:tc>
        <w:tc>
          <w:tcPr>
            <w:tcW w:w="949" w:type="dxa"/>
            <w:tcBorders>
              <w:left w:val="single" w:sz="2" w:space="0" w:color="000000"/>
              <w:bottom w:val="single" w:sz="2" w:space="0" w:color="000000"/>
            </w:tcBorders>
          </w:tcPr>
          <w:p>
            <w:pPr>
              <w:pStyle w:val="Normal"/>
              <w:widowControl w:val="false"/>
              <w:spacing w:lineRule="auto" w:line="240"/>
              <w:jc w:val="center"/>
              <w:rPr>
                <w:rFonts w:ascii="Verdana" w:hAnsi="Verdana"/>
              </w:rPr>
            </w:pPr>
            <w:r>
              <w:rPr>
                <w:rFonts w:ascii="Verdana" w:hAnsi="Verdana"/>
                <w:sz w:val="20"/>
              </w:rPr>
              <w:t>PAR</w:t>
            </w:r>
          </w:p>
        </w:tc>
        <w:tc>
          <w:tcPr>
            <w:tcW w:w="1483" w:type="dxa"/>
            <w:tcBorders>
              <w:left w:val="single" w:sz="2" w:space="0" w:color="000000"/>
              <w:bottom w:val="single" w:sz="2" w:space="0" w:color="000000"/>
            </w:tcBorders>
          </w:tcPr>
          <w:p>
            <w:pPr>
              <w:pStyle w:val="Contedodatabela"/>
              <w:widowControl w:val="false"/>
              <w:spacing w:lineRule="auto" w:line="240"/>
              <w:rPr>
                <w:rFonts w:ascii="Verdana" w:hAnsi="Verdana"/>
              </w:rPr>
            </w:pPr>
            <w:r>
              <w:rPr>
                <w:rFonts w:ascii="Verdana" w:hAnsi="Verdana"/>
                <w:sz w:val="20"/>
              </w:rPr>
              <w:t>R$ 32,65</w:t>
            </w:r>
          </w:p>
        </w:tc>
        <w:tc>
          <w:tcPr>
            <w:tcW w:w="1855"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R$ 979,50</w:t>
            </w:r>
          </w:p>
        </w:tc>
      </w:tr>
      <w:tr>
        <w:trPr>
          <w:trHeight w:val="602" w:hRule="atLeast"/>
        </w:trPr>
        <w:tc>
          <w:tcPr>
            <w:tcW w:w="10411" w:type="dxa"/>
            <w:gridSpan w:val="6"/>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rPr>
            </w:pPr>
            <w:r>
              <w:rPr>
                <w:rFonts w:ascii="Verdana" w:hAnsi="Verdana"/>
                <w:sz w:val="20"/>
              </w:rPr>
              <w:t>VALOR TOTAL ESTIMADO: R$ 171.092,06 (cento e setenta e um mil noventa e dois reais e seis centavos)</w:t>
            </w:r>
          </w:p>
          <w:p>
            <w:pPr>
              <w:pStyle w:val="Contedodatabela"/>
              <w:widowControl w:val="false"/>
              <w:spacing w:lineRule="auto" w:line="240"/>
              <w:rPr>
                <w:rFonts w:ascii="Verdana" w:hAnsi="Verdana"/>
                <w:sz w:val="20"/>
              </w:rPr>
            </w:pPr>
            <w:r>
              <w:rPr>
                <w:rFonts w:ascii="Verdana" w:hAnsi="Verdana"/>
                <w:sz w:val="20"/>
              </w:rPr>
            </w:r>
          </w:p>
        </w:tc>
      </w:tr>
    </w:tbl>
    <w:p>
      <w:pPr>
        <w:pStyle w:val="Normal"/>
        <w:suppressAutoHyphens w:val="false"/>
        <w:spacing w:lineRule="auto" w:line="240"/>
        <w:ind w:left="-22"/>
        <w:jc w:val="both"/>
        <w:rPr>
          <w:rFonts w:ascii="Verdana" w:hAnsi="Verdana"/>
          <w:iCs/>
          <w:sz w:val="20"/>
        </w:rPr>
      </w:pPr>
      <w:r>
        <w:rPr>
          <w:rFonts w:ascii="Verdana" w:hAnsi="Verdana"/>
          <w:iCs/>
          <w:sz w:val="20"/>
        </w:rPr>
      </w:r>
    </w:p>
    <w:p>
      <w:pPr>
        <w:pStyle w:val="Normal"/>
        <w:suppressAutoHyphens w:val="false"/>
        <w:spacing w:lineRule="auto" w:line="240"/>
        <w:ind w:left="-22"/>
        <w:jc w:val="both"/>
        <w:rPr>
          <w:rFonts w:ascii="Verdana" w:hAnsi="Verdana"/>
        </w:rPr>
      </w:pPr>
      <w:r>
        <w:rPr>
          <w:rFonts w:ascii="Verdana" w:hAnsi="Verdana"/>
          <w:iCs/>
          <w:sz w:val="20"/>
        </w:rPr>
        <w:t xml:space="preserve">1.2. Os produtos propostos deverão, obrigatoriamente, atender as exigências de qualidade, observados os padrões e normas baixadas pelos órgãos competentes de controle e fiscalização de qualidade industrial. </w:t>
      </w:r>
      <w:bookmarkStart w:id="0" w:name="page66R_mcid0"/>
    </w:p>
    <w:p>
      <w:pPr>
        <w:pStyle w:val="ListParagraph"/>
        <w:suppressAutoHyphens w:val="false"/>
        <w:spacing w:lineRule="auto" w:line="240"/>
        <w:ind w:left="-22"/>
        <w:jc w:val="both"/>
        <w:rPr>
          <w:rFonts w:ascii="Verdana" w:hAnsi="Verdana"/>
        </w:rPr>
      </w:pPr>
      <w:r>
        <w:rPr>
          <w:rFonts w:ascii="Verdana" w:hAnsi="Verdana"/>
          <w:iCs/>
          <w:sz w:val="20"/>
          <w:szCs w:val="20"/>
        </w:rPr>
        <w:t xml:space="preserve">1.3. </w:t>
      </w:r>
      <w:r>
        <w:rPr>
          <w:rFonts w:cs="Arial" w:ascii="Verdana" w:hAnsi="Verdana"/>
          <w:iCs/>
          <w:sz w:val="20"/>
          <w:szCs w:val="20"/>
        </w:rPr>
        <w:t>O prazo de vigência da contratação será de 12 (doze) meses contados a partir da assinatura da Ata de Registro de Preços, podendo ser prorrogada na forma da lei vigente, a critério da administração.</w:t>
      </w:r>
    </w:p>
    <w:p>
      <w:pPr>
        <w:pStyle w:val="ListParagraph"/>
        <w:tabs>
          <w:tab w:val="clear" w:pos="708"/>
          <w:tab w:val="left" w:pos="0" w:leader="none"/>
        </w:tabs>
        <w:suppressAutoHyphens w:val="false"/>
        <w:spacing w:lineRule="auto" w:line="240"/>
        <w:ind w:left="0"/>
        <w:jc w:val="both"/>
        <w:rPr>
          <w:rFonts w:ascii="Verdana" w:hAnsi="Verdana"/>
        </w:rPr>
      </w:pPr>
      <w:r>
        <w:rPr>
          <w:rFonts w:eastAsia="Times New Roman" w:cs="Times New Roman" w:ascii="Verdana" w:hAnsi="Verdana"/>
          <w:iCs/>
          <w:sz w:val="20"/>
          <w:szCs w:val="20"/>
        </w:rPr>
        <w:t>1.4. O custo estima</w:t>
      </w:r>
      <w:r>
        <w:rPr>
          <w:rFonts w:eastAsia="Times New Roman" w:cs="Times New Roman" w:ascii="Verdana" w:hAnsi="Verdana"/>
          <w:sz w:val="20"/>
          <w:szCs w:val="20"/>
        </w:rPr>
        <w:t>do total da contratação é de R$ 171.092,06 (cento e setenta e um mil noventa e dois reais e seis centavos), conforme custos unitários</w:t>
      </w:r>
      <w:r>
        <w:rPr>
          <w:rFonts w:eastAsia="Times New Roman" w:cs="Times New Roman" w:ascii="Verdana" w:hAnsi="Verdana"/>
          <w:iCs/>
          <w:sz w:val="20"/>
          <w:szCs w:val="20"/>
        </w:rPr>
        <w:t xml:space="preserve"> apostos nos orçamentos e nos quadros comparativos de preços simples em anexo, para fins de classificação, será considerado o menor preço por item.</w:t>
      </w:r>
    </w:p>
    <w:p>
      <w:pPr>
        <w:pStyle w:val="Nivel1"/>
        <w:spacing w:lineRule="auto" w:line="240" w:before="0" w:after="0"/>
        <w:rPr>
          <w:rFonts w:ascii="Verdana" w:hAnsi="Verdana"/>
        </w:rPr>
      </w:pPr>
      <w:r>
        <w:rPr>
          <w:rFonts w:cs="Times New Roman" w:ascii="Verdana" w:hAnsi="Verdana"/>
          <w:bCs/>
          <w:color w:val="auto"/>
          <w:sz w:val="20"/>
          <w:szCs w:val="20"/>
        </w:rPr>
        <w:t xml:space="preserve">2. FUNDAMENTAÇÃO E DESCRIÇÃO DA NECESSIDADE DA CONTRATAÇÃO </w:t>
      </w:r>
    </w:p>
    <w:p>
      <w:pPr>
        <w:pStyle w:val="Nivel1"/>
        <w:spacing w:lineRule="auto" w:line="240" w:before="0" w:after="0"/>
        <w:rPr>
          <w:rFonts w:ascii="Verdana" w:hAnsi="Verdana"/>
        </w:rPr>
      </w:pPr>
      <w:r>
        <w:rPr>
          <w:rFonts w:cs="Times New Roman" w:ascii="Verdana" w:hAnsi="Verdana"/>
          <w:b w:val="false"/>
          <w:color w:val="auto"/>
          <w:sz w:val="20"/>
          <w:szCs w:val="20"/>
        </w:rPr>
        <w:t xml:space="preserve">2.1. </w:t>
      </w:r>
      <w:r>
        <w:rPr>
          <w:rFonts w:ascii="Verdana" w:hAnsi="Verdana"/>
          <w:b w:val="false"/>
          <w:color w:val="auto"/>
          <w:sz w:val="20"/>
          <w:szCs w:val="20"/>
        </w:rPr>
        <w:t>A compra de Equipamento de Proteção Individual - EPIs, justifica-se devido à necessidade de garantir um ambiente de trabalho seguro, organizado, com condições boas para os servidores terem qualidade de vida necessária para realização dos trabalhos.</w:t>
      </w:r>
    </w:p>
    <w:p>
      <w:pPr>
        <w:pStyle w:val="ListParagraph"/>
        <w:widowControl w:val="false"/>
        <w:tabs>
          <w:tab w:val="clear" w:pos="708"/>
          <w:tab w:val="left" w:pos="-2410" w:leader="none"/>
          <w:tab w:val="left" w:pos="567" w:leader="none"/>
        </w:tabs>
        <w:spacing w:lineRule="auto" w:line="240" w:before="0" w:after="0"/>
        <w:ind w:left="0"/>
        <w:contextualSpacing/>
        <w:jc w:val="both"/>
        <w:rPr>
          <w:rFonts w:ascii="Verdana" w:hAnsi="Verdana"/>
        </w:rPr>
      </w:pPr>
      <w:r>
        <w:rPr>
          <w:rFonts w:cs="Arial" w:ascii="Verdana" w:hAnsi="Verdana"/>
          <w:sz w:val="20"/>
          <w:szCs w:val="20"/>
        </w:rPr>
        <w:t>2.2. De acordo com a Norma Regulamentadora - NR 6, o Equipamento de Proteção Individual – EPI é um dispositivo ou produto, de uso individual utilizado pelo trabalhador destinado a proteção contra riscos capazes de ameaçar a sua segurança e a sua saúde. A Empresa é obrigada a fornecer aos empregados gratuitamente, o Equipamento de Proteção Individual adequado ao risco, em perfeito estado de conservação e funcionamento.</w:t>
      </w:r>
    </w:p>
    <w:p>
      <w:pPr>
        <w:pStyle w:val="Normal"/>
        <w:spacing w:lineRule="auto" w:line="240"/>
        <w:rPr>
          <w:rFonts w:ascii="Verdana" w:hAnsi="Verdana"/>
        </w:rPr>
      </w:pPr>
      <w:r>
        <w:rPr>
          <w:rFonts w:eastAsia="Arial" w:cs="Arial" w:ascii="Verdana" w:hAnsi="Verdana"/>
          <w:sz w:val="20"/>
        </w:rPr>
        <w:t>2.3. Diante da necessidade acima, iniciou-se o Estudo Técnico Preliminar por meio do qual será possível decidir qual é a melhor solução.</w:t>
      </w:r>
    </w:p>
    <w:p>
      <w:pPr>
        <w:pStyle w:val="Normal"/>
        <w:spacing w:lineRule="auto" w:line="240"/>
        <w:rPr>
          <w:rFonts w:ascii="Verdana" w:hAnsi="Verdana" w:cs="Arial"/>
          <w:sz w:val="20"/>
          <w:u w:val="single"/>
        </w:rPr>
      </w:pPr>
      <w:r>
        <w:rPr>
          <w:rFonts w:cs="Arial" w:ascii="Verdana" w:hAnsi="Verdana"/>
          <w:sz w:val="20"/>
          <w:u w:val="single"/>
        </w:rPr>
      </w:r>
    </w:p>
    <w:p>
      <w:pPr>
        <w:pStyle w:val="Nivel1"/>
        <w:spacing w:lineRule="auto" w:line="240" w:before="0" w:after="0"/>
        <w:rPr>
          <w:rFonts w:ascii="Verdana" w:hAnsi="Verdana"/>
        </w:rPr>
      </w:pPr>
      <w:r>
        <w:rPr>
          <w:rFonts w:cs="Times New Roman" w:ascii="Verdana" w:hAnsi="Verdana"/>
          <w:bCs/>
          <w:color w:val="auto"/>
          <w:sz w:val="20"/>
          <w:szCs w:val="20"/>
        </w:rPr>
        <w:t xml:space="preserve">3. DESCRIÇÃO DA SOLUÇÃO COMO UM TODO CONSIDERADO O CICLO DE VIDA DO OBJETO E ESPECIFICAÇÃO DO PRODUTO </w:t>
      </w:r>
    </w:p>
    <w:p>
      <w:pPr>
        <w:pStyle w:val="Normal"/>
        <w:spacing w:lineRule="auto" w:line="240"/>
        <w:jc w:val="both"/>
        <w:rPr>
          <w:rFonts w:ascii="Verdana" w:hAnsi="Verdana"/>
        </w:rPr>
      </w:pPr>
      <w:r>
        <w:rPr>
          <w:rFonts w:cs="Arial" w:ascii="Verdana" w:hAnsi="Verdana"/>
          <w:sz w:val="20"/>
        </w:rPr>
        <w:t>3.1. Após uma análise minuciosa das opções disponíveis, foi identificada a solução mais vantajosa para atender à finalidade do objeto de aquisição de EPIs para a Prefeitura Municipal de São Gabriel da Palha. O processo de avaliação levou em consideração não apenas o custo inicial, mas também a qualidade, confiabilidade e eficiência a longo prazo.</w:t>
      </w:r>
    </w:p>
    <w:p>
      <w:pPr>
        <w:pStyle w:val="Normal"/>
        <w:spacing w:lineRule="auto" w:line="240"/>
        <w:jc w:val="both"/>
        <w:rPr>
          <w:rFonts w:ascii="Verdana" w:hAnsi="Verdana"/>
        </w:rPr>
      </w:pPr>
      <w:r>
        <w:rPr>
          <w:rFonts w:cs="Arial" w:ascii="Verdana" w:hAnsi="Verdana"/>
          <w:sz w:val="20"/>
        </w:rPr>
        <w:t>3.2. A solução que se destacou dentre as opções examinadas foi aquela que proporcionava um equilíbrio entre qualidade e custo-benefício. Além de ter um custo inicial competitivo, esta alternativa mostrou-se adequada às necessidades previstas para futuras manutenções. Sua capacidade de se adaptar a possíveis mudanças também foi um fator determinante na escolha.</w:t>
      </w:r>
    </w:p>
    <w:p>
      <w:pPr>
        <w:pStyle w:val="Normal"/>
        <w:spacing w:lineRule="auto" w:line="240"/>
        <w:jc w:val="both"/>
        <w:rPr>
          <w:rFonts w:ascii="Verdana" w:hAnsi="Verdana"/>
        </w:rPr>
      </w:pPr>
      <w:r>
        <w:rPr>
          <w:rFonts w:cs="Arial" w:ascii="Verdana" w:hAnsi="Verdana"/>
          <w:sz w:val="20"/>
        </w:rPr>
        <w:t>3.3. A decisão por esta solução não apenas foi vantajosa no momento da contratação, mas também previu economias a longo prazo, tanto em termos de despesas operacionais. Com base na análise detalhada realizada, esta solução é a mais viável e promissora para atender às demandas presentes e futuras, oferecendo um equilíbrio adequado entre eficiência, confiabilidade e custo, tanto na contratação inicial quanto nas manutenções posteriores.</w:t>
      </w:r>
    </w:p>
    <w:p>
      <w:pPr>
        <w:pStyle w:val="Normal"/>
        <w:spacing w:lineRule="auto" w:line="240"/>
        <w:jc w:val="both"/>
        <w:rPr>
          <w:rFonts w:ascii="Verdana" w:hAnsi="Verdana"/>
        </w:rPr>
      </w:pPr>
      <w:r>
        <w:rPr>
          <w:rFonts w:cs="Arial" w:ascii="Verdana" w:hAnsi="Verdana"/>
          <w:sz w:val="20"/>
        </w:rPr>
        <w:t>3.4. Comparando as soluções propostas, a que oferece um equilíbrio notável entre qualidade, custo-benefício e adaptabilidade a mudanças é a mais vantajosa para atender à finalidade do objeto de aquisição de EPIs para a Prefeitura Municipal de São Gabriel da Palha.</w:t>
      </w:r>
    </w:p>
    <w:p>
      <w:pPr>
        <w:pStyle w:val="Normal"/>
        <w:spacing w:lineRule="auto" w:line="240"/>
        <w:jc w:val="both"/>
        <w:rPr>
          <w:rFonts w:ascii="Verdana" w:hAnsi="Verdana" w:cs="Arial"/>
          <w:sz w:val="20"/>
        </w:rPr>
      </w:pPr>
      <w:r>
        <w:rPr>
          <w:rFonts w:cs="Arial" w:ascii="Verdana" w:hAnsi="Verdana"/>
          <w:sz w:val="20"/>
        </w:rPr>
      </w:r>
    </w:p>
    <w:p>
      <w:pPr>
        <w:pStyle w:val="Nivel1"/>
        <w:spacing w:lineRule="auto" w:line="240" w:before="0" w:after="0"/>
        <w:rPr>
          <w:rFonts w:ascii="Verdana" w:hAnsi="Verdana"/>
        </w:rPr>
      </w:pPr>
      <w:r>
        <w:rPr>
          <w:rFonts w:cs="Times New Roman" w:ascii="Verdana" w:hAnsi="Verdana"/>
          <w:bCs/>
          <w:color w:val="auto"/>
          <w:sz w:val="20"/>
          <w:szCs w:val="20"/>
        </w:rPr>
        <w:t>4. REQUISITOS DA CONTRATAÇÃO</w:t>
      </w:r>
    </w:p>
    <w:p>
      <w:pPr>
        <w:pStyle w:val="Normal"/>
        <w:spacing w:lineRule="auto" w:line="240"/>
        <w:jc w:val="both"/>
        <w:rPr>
          <w:rFonts w:ascii="Verdana" w:hAnsi="Verdana"/>
        </w:rPr>
      </w:pPr>
      <w:r>
        <w:rPr>
          <w:rFonts w:cs="Arial" w:ascii="Verdana" w:hAnsi="Verdana"/>
          <w:sz w:val="20"/>
        </w:rPr>
        <w:t>4.1. A aquisição de Equipamentos de Proteção Individual (EPIs) para a Prefeitura Municipal de São Gabriel da Palha é um processo crucial para garantir a segurança e bem-estar dos colaboradores durante as atividades realizadas. Para que a solução atenda adequadamente as necessidades da Prefeitura Municipal de São Gabriel da Palha, é importante considerar alguns requisitos específicos:</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cs="Arial" w:ascii="Verdana" w:hAnsi="Verdana"/>
          <w:b/>
          <w:bCs/>
          <w:sz w:val="20"/>
        </w:rPr>
        <w:t>1. Tipo de EPIs necessários:</w:t>
      </w:r>
    </w:p>
    <w:p>
      <w:pPr>
        <w:pStyle w:val="Normal"/>
        <w:spacing w:lineRule="auto" w:line="240"/>
        <w:jc w:val="both"/>
        <w:rPr>
          <w:rFonts w:ascii="Verdana" w:hAnsi="Verdana"/>
        </w:rPr>
      </w:pPr>
      <w:r>
        <w:rPr>
          <w:rFonts w:cs="Arial" w:ascii="Verdana" w:hAnsi="Verdana"/>
          <w:sz w:val="20"/>
        </w:rPr>
        <w:t>É fundamental identificar quais são os tipos de EPIs necessários para as atividades realizadas no CTDC. Isso pode incluir itens como luvas, óculos de proteção, botas, máscaras, entre outros. Cada tipo de EPI deve atender às normas regulamentadoras de segurança e saúde do trabalho.</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cs="Arial" w:ascii="Verdana" w:hAnsi="Verdana"/>
          <w:b/>
          <w:bCs/>
          <w:sz w:val="20"/>
        </w:rPr>
        <w:t>2. Qualidade dos produtos:</w:t>
      </w:r>
    </w:p>
    <w:p>
      <w:pPr>
        <w:pStyle w:val="Normal"/>
        <w:spacing w:lineRule="auto" w:line="240"/>
        <w:jc w:val="both"/>
        <w:rPr>
          <w:rFonts w:ascii="Verdana" w:hAnsi="Verdana"/>
        </w:rPr>
      </w:pPr>
      <w:r>
        <w:rPr>
          <w:rFonts w:cs="Arial" w:ascii="Verdana" w:hAnsi="Verdana"/>
          <w:sz w:val="20"/>
        </w:rPr>
        <w:t>Os EPIs devem estar em conformidade com padrões de qualidade estabelecidos pelo Instituto Nacional de Metrologia, Qualidade e Tecnologia (Inmetro) e pelas normas regulamentadoras vigentes. É importante garantir que os produtos adquiridos sejam certificados de aprovação e testados para oferecer a proteção adequada aos colaboradores.</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cs="Arial" w:ascii="Verdana" w:hAnsi="Verdana"/>
          <w:b/>
          <w:bCs/>
          <w:sz w:val="20"/>
        </w:rPr>
        <w:t>3. Durabilidade e resistência:</w:t>
      </w:r>
    </w:p>
    <w:p>
      <w:pPr>
        <w:pStyle w:val="Normal"/>
        <w:spacing w:lineRule="auto" w:line="240"/>
        <w:jc w:val="both"/>
        <w:rPr>
          <w:rFonts w:ascii="Verdana" w:hAnsi="Verdana"/>
        </w:rPr>
      </w:pPr>
      <w:r>
        <w:rPr>
          <w:rFonts w:cs="Arial" w:ascii="Verdana" w:hAnsi="Verdana"/>
          <w:sz w:val="20"/>
        </w:rPr>
        <w:t>Os EPIs devem ser duráveis e resistentes, de forma a suportar as condições de uso. Materiais de qualidade e acabamento adequado são requisitos essenciais para garantir a eficácia dos equipamentos.</w:t>
        <w:br/>
        <w:br/>
      </w:r>
      <w:r>
        <w:rPr>
          <w:rFonts w:cs="Arial" w:ascii="Verdana" w:hAnsi="Verdana"/>
          <w:b/>
          <w:bCs/>
          <w:sz w:val="20"/>
        </w:rPr>
        <w:t>4. Conforto e ergonomia:</w:t>
      </w:r>
    </w:p>
    <w:p>
      <w:pPr>
        <w:pStyle w:val="Normal"/>
        <w:spacing w:lineRule="auto" w:line="240"/>
        <w:jc w:val="both"/>
        <w:rPr>
          <w:rFonts w:ascii="Verdana" w:hAnsi="Verdana"/>
        </w:rPr>
      </w:pPr>
      <w:r>
        <w:rPr>
          <w:rFonts w:cs="Arial" w:ascii="Verdana" w:hAnsi="Verdana"/>
          <w:sz w:val="20"/>
        </w:rPr>
        <w:t>Além da segurança, é importante considerar o conforto e a ergonomia dos EPIs. Itens que sejam ajustáveis, leves e que permitam a livre movimentação dos colaboradores são fundamentais para garantir o uso correto e contínuo dos equipamentos.</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cs="Arial" w:ascii="Verdana" w:hAnsi="Verdana"/>
          <w:b/>
          <w:bCs/>
          <w:sz w:val="20"/>
        </w:rPr>
        <w:t>5. Boas práticas de mercado:</w:t>
      </w:r>
    </w:p>
    <w:p>
      <w:pPr>
        <w:pStyle w:val="Normal"/>
        <w:spacing w:lineRule="auto" w:line="240"/>
        <w:jc w:val="both"/>
        <w:rPr>
          <w:rFonts w:ascii="Verdana" w:hAnsi="Verdana"/>
        </w:rPr>
      </w:pPr>
      <w:r>
        <w:rPr>
          <w:rFonts w:cs="Arial" w:ascii="Verdana" w:hAnsi="Verdana"/>
          <w:sz w:val="20"/>
        </w:rPr>
        <w:t>A solução deve estar alinhada com as boas práticas de mercado, incluindo fornecedores reconhecidos, políticas de sustentabilidade e responsabilidade social. A transparência e a ética na aquisição dos EPIs também são requisitos importantes a serem considerados.</w:t>
      </w:r>
    </w:p>
    <w:p>
      <w:pPr>
        <w:pStyle w:val="Normal"/>
        <w:spacing w:lineRule="auto" w:line="240"/>
        <w:jc w:val="both"/>
        <w:rPr>
          <w:rFonts w:ascii="Verdana" w:hAnsi="Verdana"/>
        </w:rPr>
      </w:pPr>
      <w:r>
        <w:rPr>
          <w:rFonts w:cs="Arial" w:ascii="Verdana" w:hAnsi="Verdana"/>
          <w:sz w:val="20"/>
        </w:rPr>
        <w:br/>
        <w:t>Em resumo, a solução para a aquisição de EPIs para a Prefeitura Municipal de São Gabriel da Palha deve contemplar requisitos que garantam a qualidade, segurança, eficácia e eficiência dos equipamentos. A escolha dos produtos e fornecedores deve ser criteriosa, considerando as necessidades específicas da instituição e seguindo as melhores práticas do mercado.</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cs="Arial" w:ascii="Verdana" w:hAnsi="Verdana"/>
          <w:b/>
          <w:bCs/>
          <w:sz w:val="20"/>
        </w:rPr>
        <w:t>4.2. Das Amostras</w:t>
      </w:r>
    </w:p>
    <w:p>
      <w:pPr>
        <w:pStyle w:val="Normal"/>
        <w:spacing w:lineRule="auto" w:line="240"/>
        <w:jc w:val="both"/>
        <w:rPr>
          <w:rFonts w:ascii="Verdana" w:hAnsi="Verdana"/>
        </w:rPr>
      </w:pPr>
      <w:r>
        <w:rPr>
          <w:rFonts w:cs="Arial" w:ascii="Verdana" w:hAnsi="Verdana"/>
          <w:sz w:val="20"/>
        </w:rPr>
        <w:t xml:space="preserve">4.2.1. Em cada aquisição, resultado a Ata de Registro de Preços, a Prefeitura Municipal de São Gabriel da Palha se reserva no direito de </w:t>
      </w:r>
      <w:r>
        <w:rPr>
          <w:rFonts w:cs="Arial" w:ascii="Verdana" w:hAnsi="Verdana"/>
          <w:i/>
          <w:iCs/>
          <w:sz w:val="20"/>
        </w:rPr>
        <w:t>solicitar amostras dos produtos ofertados</w:t>
      </w:r>
      <w:r>
        <w:rPr>
          <w:rFonts w:cs="Arial" w:ascii="Verdana" w:hAnsi="Verdana"/>
          <w:sz w:val="20"/>
        </w:rPr>
        <w:t xml:space="preserve"> para avaliação técnica que será realizada pelo Técnico de Segurança do Trabalho, com a Comissão Interma de Prevenção de Acidentes;</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4.2.2. As amostras deverão ser apresentadas com os catálogos e/ou prospectos que contenham a descrição em português detalhada do produto ofertado.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4.2.3. As amostras deverão ter o CA - Certificado de Aprovação, emitido pela Secretaria de Inspeção do Trabalho – SIT / CAEPI - Certificado de Aprovação de Equipamento de Proteção Individual.</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4.2.4. Quando solicitadas às amostras e os catálogos, esses deverão ser apresentados na quantidade solicitada no prazo máximo de 72 horas</w:t>
      </w:r>
      <w:r>
        <w:rPr>
          <w:rFonts w:ascii="Verdana" w:hAnsi="Verdana"/>
          <w:b/>
          <w:bCs/>
          <w:sz w:val="20"/>
        </w:rPr>
        <w:t xml:space="preserve"> </w:t>
      </w:r>
      <w:r>
        <w:rPr>
          <w:rFonts w:ascii="Verdana" w:hAnsi="Verdana"/>
          <w:sz w:val="20"/>
        </w:rPr>
        <w:t>contadas do recebimento da solicitação;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4.2.5. A quantidade das amostras deverá ser de no mínimo três unidades por item.</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4.2.6. O envio/postagem das amostras deverá se dar no prazo máximo de 72 horas contadas do recebimento da convocação,</w:t>
      </w:r>
    </w:p>
    <w:p>
      <w:pPr>
        <w:pStyle w:val="Normal"/>
        <w:tabs>
          <w:tab w:val="clear" w:pos="708"/>
          <w:tab w:val="left" w:pos="426" w:leader="none"/>
        </w:tabs>
        <w:suppressAutoHyphens w:val="false"/>
        <w:spacing w:lineRule="auto" w:line="240"/>
        <w:jc w:val="both"/>
        <w:rPr/>
      </w:pPr>
      <w:r>
        <w:rPr>
          <w:rFonts w:ascii="Verdana" w:hAnsi="Verdana"/>
          <w:sz w:val="20"/>
        </w:rPr>
        <w:t xml:space="preserve">4.2.7. Quando as amostras não forem entregues pessoalmente, o licitante deverá enviar para o endereço de e-mail: </w:t>
      </w:r>
      <w:hyperlink r:id="rId2">
        <w:r>
          <w:rPr>
            <w:rStyle w:val="Hyperlink"/>
            <w:rFonts w:ascii="Verdana" w:hAnsi="Verdana"/>
            <w:color w:val="auto"/>
            <w:sz w:val="20"/>
          </w:rPr>
          <w:t>administracao@saogabriel.es.gov.br</w:t>
        </w:r>
      </w:hyperlink>
      <w:r>
        <w:rPr>
          <w:rFonts w:ascii="Verdana" w:hAnsi="Verdana"/>
          <w:sz w:val="20"/>
        </w:rPr>
        <w:t xml:space="preserve"> o código de rastreamento referente ao envio/postagem da citada amostra.</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4.2.8. Este prazo poderá ser prorrogado quando for apresentada justificativa aceita pela Secretaria Municipal de Administração desde que a postagem da amostra tenha sido efetuada dentro do prazo contido no item 4.2.6;</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4.2.9</w:t>
      </w:r>
      <w:r>
        <w:rPr>
          <w:rFonts w:ascii="Verdana" w:hAnsi="Verdana"/>
          <w:b/>
          <w:bCs/>
          <w:sz w:val="20"/>
        </w:rPr>
        <w:t xml:space="preserve">. </w:t>
      </w:r>
      <w:r>
        <w:rPr>
          <w:rFonts w:ascii="Verdana" w:hAnsi="Verdana"/>
          <w:sz w:val="20"/>
        </w:rPr>
        <w:t>O e-mail enviado com o código de rastreamento deverá conter obrigatoriamente as seguintes informações:</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Nome da empresa;</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 xml:space="preserve">CNPJ;   </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Itens postados;</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Telefone para contato;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Número do Pregão; e</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Data da postagem.</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4.2.10. As amostras deverão ser encaminhadas à Secretaria Municipal de Administração – Departamento de Almoxarifado, no seguinte endereço: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Prefeitura Municipal de São Gabriel da Palha </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Praça Vicente Glazar, 159, Glória, São Gabriel da Palha – ES </w:t>
      </w:r>
    </w:p>
    <w:p>
      <w:pPr>
        <w:pStyle w:val="Normal"/>
        <w:spacing w:lineRule="auto" w:line="240"/>
        <w:jc w:val="both"/>
        <w:rPr>
          <w:rFonts w:ascii="Verdana" w:hAnsi="Verdana"/>
        </w:rPr>
      </w:pPr>
      <w:r>
        <w:rPr>
          <w:rFonts w:cs="Arial" w:ascii="Verdana" w:hAnsi="Verdana"/>
          <w:sz w:val="20"/>
        </w:rPr>
        <w:t>CEP: 29.780-000</w:t>
      </w:r>
    </w:p>
    <w:p>
      <w:pPr>
        <w:pStyle w:val="ListParagraph"/>
        <w:suppressAutoHyphens w:val="false"/>
        <w:spacing w:lineRule="auto" w:line="240" w:before="0" w:after="0"/>
        <w:ind w:left="0"/>
        <w:contextualSpacing/>
        <w:jc w:val="both"/>
        <w:rPr>
          <w:rFonts w:ascii="Verdana" w:hAnsi="Verdana"/>
        </w:rPr>
      </w:pPr>
      <w:r>
        <w:rPr>
          <w:rFonts w:ascii="Verdana" w:hAnsi="Verdana"/>
          <w:sz w:val="20"/>
          <w:szCs w:val="20"/>
        </w:rPr>
        <w:t xml:space="preserve">4.11. </w:t>
      </w:r>
      <w:r>
        <w:rPr>
          <w:rFonts w:cs="Arial" w:ascii="Verdana" w:hAnsi="Verdana"/>
          <w:sz w:val="20"/>
          <w:szCs w:val="20"/>
        </w:rPr>
        <w:t xml:space="preserve">Na </w:t>
      </w:r>
      <w:r>
        <w:rPr>
          <w:rFonts w:eastAsia="Times New Roman" w:cs="Arial" w:ascii="Verdana" w:hAnsi="Verdana"/>
          <w:sz w:val="20"/>
          <w:szCs w:val="20"/>
          <w:lang w:eastAsia="zh-CN"/>
        </w:rPr>
        <w:t>entrega dos produtos</w:t>
      </w:r>
      <w:r>
        <w:rPr>
          <w:rFonts w:cs="Arial" w:ascii="Verdana" w:hAnsi="Verdana"/>
          <w:sz w:val="20"/>
          <w:szCs w:val="20"/>
        </w:rPr>
        <w:t>, a CONTRATADA deve:</w:t>
      </w:r>
    </w:p>
    <w:p>
      <w:pPr>
        <w:pStyle w:val="Normal"/>
        <w:spacing w:lineRule="auto" w:line="240"/>
        <w:jc w:val="both"/>
        <w:rPr>
          <w:rFonts w:ascii="Verdana" w:hAnsi="Verdana"/>
        </w:rPr>
      </w:pPr>
      <w:r>
        <w:rPr>
          <w:rFonts w:cs="Arial" w:ascii="Verdana" w:hAnsi="Verdana"/>
          <w:sz w:val="20"/>
        </w:rPr>
        <w:t xml:space="preserve">a) Fornecer os itens em perfeitas condições de </w:t>
      </w:r>
      <w:r>
        <w:rPr>
          <w:rFonts w:cs="Arial" w:ascii="Verdana" w:hAnsi="Verdana"/>
          <w:sz w:val="20"/>
          <w:lang w:eastAsia="zh-CN"/>
        </w:rPr>
        <w:t>consumo</w:t>
      </w:r>
      <w:r>
        <w:rPr>
          <w:rFonts w:cs="Arial" w:ascii="Verdana" w:hAnsi="Verdana"/>
          <w:sz w:val="20"/>
        </w:rPr>
        <w:t>, sem nenhuma avaria que comprometa a sua qualidade</w:t>
      </w:r>
    </w:p>
    <w:p>
      <w:pPr>
        <w:pStyle w:val="Normal"/>
        <w:spacing w:lineRule="auto" w:line="240"/>
        <w:jc w:val="both"/>
        <w:rPr>
          <w:rFonts w:ascii="Verdana" w:hAnsi="Verdana"/>
        </w:rPr>
      </w:pPr>
      <w:r>
        <w:rPr>
          <w:rFonts w:cs="Arial" w:ascii="Verdana" w:hAnsi="Verdana"/>
          <w:sz w:val="20"/>
        </w:rPr>
        <w:t xml:space="preserve">b) </w:t>
      </w:r>
      <w:r>
        <w:rPr>
          <w:rFonts w:cs="Arial" w:ascii="Verdana" w:hAnsi="Verdana"/>
          <w:sz w:val="20"/>
          <w:lang w:eastAsia="zh-CN"/>
        </w:rPr>
        <w:t>Fornecer os itens conforme a cotação de preços</w:t>
      </w:r>
      <w:r>
        <w:rPr>
          <w:rFonts w:cs="Arial" w:ascii="Verdana" w:hAnsi="Verdana"/>
          <w:sz w:val="20"/>
        </w:rPr>
        <w:t xml:space="preserve">. </w:t>
      </w:r>
    </w:p>
    <w:p>
      <w:pPr>
        <w:pStyle w:val="Normal"/>
        <w:spacing w:lineRule="auto" w:line="240"/>
        <w:jc w:val="both"/>
        <w:rPr>
          <w:rFonts w:ascii="Verdana" w:hAnsi="Verdana"/>
        </w:rPr>
      </w:pPr>
      <w:r>
        <w:rPr>
          <w:rFonts w:cs="Arial" w:ascii="Verdana" w:hAnsi="Verdana"/>
          <w:sz w:val="20"/>
        </w:rPr>
        <w:t>c) R</w:t>
      </w:r>
      <w:r>
        <w:rPr>
          <w:rFonts w:cs="Arial" w:ascii="Verdana" w:hAnsi="Verdana"/>
          <w:sz w:val="20"/>
          <w:lang w:eastAsia="zh-CN"/>
        </w:rPr>
        <w:t>ealizar a entrega dos produtos dentro do prazo determinado, sendo de sua total responsabilidade o custo com a logística</w:t>
      </w:r>
      <w:r>
        <w:rPr>
          <w:rFonts w:cs="Arial" w:ascii="Verdana" w:hAnsi="Verdana"/>
          <w:sz w:val="20"/>
        </w:rPr>
        <w:t xml:space="preserve">. </w:t>
      </w:r>
    </w:p>
    <w:p>
      <w:pPr>
        <w:pStyle w:val="Normal"/>
        <w:spacing w:lineRule="auto" w:line="240"/>
        <w:jc w:val="both"/>
        <w:rPr>
          <w:rFonts w:ascii="Verdana" w:hAnsi="Verdana"/>
        </w:rPr>
      </w:pPr>
      <w:r>
        <w:rPr>
          <w:rFonts w:cs="Arial" w:ascii="Verdana" w:hAnsi="Verdana"/>
          <w:sz w:val="20"/>
        </w:rPr>
        <w:t>d) Cotar e fornecer produtos de qualidade e que sejam próprios para o uso a que se destinam.</w:t>
      </w:r>
    </w:p>
    <w:p>
      <w:pPr>
        <w:pStyle w:val="Normal"/>
        <w:spacing w:lineRule="auto" w:line="240"/>
        <w:jc w:val="both"/>
        <w:rPr>
          <w:rFonts w:ascii="Verdana" w:hAnsi="Verdana"/>
        </w:rPr>
      </w:pPr>
      <w:r>
        <w:rPr>
          <w:rFonts w:cs="Arial" w:ascii="Verdana" w:hAnsi="Verdana"/>
          <w:sz w:val="20"/>
        </w:rPr>
        <w:t>e</w:t>
      </w:r>
      <w:r>
        <w:rPr>
          <w:rFonts w:cs="Arial" w:ascii="Verdana" w:hAnsi="Verdana"/>
          <w:b w:val="false"/>
          <w:bCs w:val="false"/>
          <w:sz w:val="20"/>
        </w:rPr>
        <w:t>)</w:t>
      </w:r>
      <w:r>
        <w:rPr>
          <w:rFonts w:cs="Arial" w:ascii="Verdana" w:hAnsi="Verdana"/>
          <w:b/>
          <w:bCs/>
          <w:sz w:val="20"/>
        </w:rPr>
        <w:t xml:space="preserve"> </w:t>
      </w:r>
      <w:r>
        <w:rPr>
          <w:rFonts w:cs="Arial" w:ascii="Verdana" w:hAnsi="Verdana"/>
          <w:sz w:val="20"/>
        </w:rPr>
        <w:t xml:space="preserve">Realizar substituição dos </w:t>
      </w:r>
      <w:r>
        <w:rPr>
          <w:rFonts w:cs="Arial" w:ascii="Verdana" w:hAnsi="Verdana"/>
          <w:sz w:val="20"/>
          <w:lang w:eastAsia="zh-CN"/>
        </w:rPr>
        <w:t>produtos que foram entregues danificados ou inconsumíveis imediatamente, se for o caso.</w:t>
      </w:r>
    </w:p>
    <w:p>
      <w:pPr>
        <w:pStyle w:val="Normal"/>
        <w:spacing w:lineRule="auto" w:line="240"/>
        <w:jc w:val="both"/>
        <w:rPr>
          <w:rFonts w:ascii="Verdana" w:hAnsi="Verdana" w:eastAsia="Arial" w:cs="Arial"/>
          <w:sz w:val="20"/>
          <w:shd w:fill="FFFFFF" w:val="clear"/>
        </w:rPr>
      </w:pPr>
      <w:r>
        <w:rPr>
          <w:rFonts w:eastAsia="Arial" w:cs="Arial" w:ascii="Verdana" w:hAnsi="Verdana"/>
          <w:sz w:val="20"/>
          <w:shd w:fill="FFFFFF" w:val="clear"/>
        </w:rPr>
      </w:r>
    </w:p>
    <w:p>
      <w:pPr>
        <w:pStyle w:val="Nivel1"/>
        <w:suppressAutoHyphens w:val="true"/>
        <w:spacing w:lineRule="auto" w:line="240" w:before="0" w:after="0"/>
        <w:rPr>
          <w:rFonts w:ascii="Verdana" w:hAnsi="Verdana"/>
        </w:rPr>
      </w:pPr>
      <w:r>
        <w:rPr>
          <w:rFonts w:ascii="Verdana" w:hAnsi="Verdana"/>
          <w:color w:val="auto"/>
          <w:sz w:val="20"/>
          <w:szCs w:val="20"/>
        </w:rPr>
        <w:t>5. ENTREGA E CRITÉRIOS DE ACEITAÇÃO DO OBJETO</w:t>
      </w:r>
    </w:p>
    <w:p>
      <w:pPr>
        <w:pStyle w:val="Normal"/>
        <w:spacing w:lineRule="auto" w:line="240"/>
        <w:jc w:val="both"/>
        <w:rPr>
          <w:rFonts w:ascii="Verdana" w:hAnsi="Verdana"/>
        </w:rPr>
      </w:pPr>
      <w:r>
        <w:rPr>
          <w:rFonts w:cs="Arial" w:ascii="Verdana" w:hAnsi="Verdana"/>
          <w:sz w:val="20"/>
        </w:rPr>
        <w:t>5.1. O fornecedor deverá entregar os itens de proteção de acordo com os processos de aquisição solicitados por cada secretaria ou unidade administrativa, após o recebimento da Ordem de Fornecimento emitida pelo Departamento de Compras e Contratos.</w:t>
      </w:r>
    </w:p>
    <w:p>
      <w:pPr>
        <w:pStyle w:val="BodyText"/>
        <w:spacing w:lineRule="auto" w:line="240" w:before="0" w:after="0"/>
        <w:jc w:val="both"/>
        <w:rPr>
          <w:rFonts w:ascii="Verdana" w:hAnsi="Verdana"/>
        </w:rPr>
      </w:pPr>
      <w:r>
        <w:rPr>
          <w:rFonts w:cs="Arial" w:ascii="Verdana" w:hAnsi="Verdana"/>
          <w:sz w:val="20"/>
        </w:rPr>
        <w:t>5.2. As entregas serão feitas de acordo com a secretaria ou unidade administrativa que solicitou o item, descrito na Ordem de Compras emitida pelo Departamento de Compras no prazo de até 15 (quinze) dias após a confirmação de recebimento da autorização.</w:t>
      </w:r>
    </w:p>
    <w:p>
      <w:pPr>
        <w:pStyle w:val="BodyText"/>
        <w:spacing w:lineRule="auto" w:line="240" w:before="0" w:after="0"/>
        <w:jc w:val="both"/>
        <w:rPr>
          <w:rFonts w:ascii="Verdana" w:hAnsi="Verdana"/>
        </w:rPr>
      </w:pPr>
      <w:r>
        <w:rPr>
          <w:rFonts w:cs="Arial" w:ascii="Verdana" w:hAnsi="Verdana"/>
          <w:sz w:val="20"/>
        </w:rPr>
        <w:t xml:space="preserve">5.3. LOCAL DE ENTREGA </w:t>
      </w:r>
    </w:p>
    <w:p>
      <w:pPr>
        <w:pStyle w:val="BodyText"/>
        <w:spacing w:lineRule="auto" w:line="240" w:before="0" w:after="0"/>
        <w:jc w:val="both"/>
        <w:rPr>
          <w:rFonts w:ascii="Verdana" w:hAnsi="Verdana"/>
        </w:rPr>
      </w:pPr>
      <w:r>
        <w:rPr>
          <w:rFonts w:cs="Arial" w:ascii="Verdana" w:hAnsi="Verdana"/>
          <w:sz w:val="20"/>
        </w:rPr>
        <w:t xml:space="preserve">Rua: </w:t>
      </w:r>
      <w:r>
        <w:rPr>
          <w:rFonts w:cs="Arial" w:ascii="Verdana" w:hAnsi="Verdana"/>
          <w:sz w:val="20"/>
          <w:lang w:eastAsia="zh-CN"/>
        </w:rPr>
        <w:t>Praça Vicente Glazar, 159</w:t>
      </w:r>
      <w:r>
        <w:rPr>
          <w:rFonts w:cs="Arial" w:ascii="Verdana" w:hAnsi="Verdana"/>
          <w:sz w:val="20"/>
        </w:rPr>
        <w:t xml:space="preserve"> – Bairro </w:t>
      </w:r>
      <w:r>
        <w:rPr>
          <w:rFonts w:cs="Arial" w:ascii="Verdana" w:hAnsi="Verdana"/>
          <w:sz w:val="20"/>
          <w:lang w:eastAsia="zh-CN"/>
        </w:rPr>
        <w:t>Glória</w:t>
      </w:r>
    </w:p>
    <w:p>
      <w:pPr>
        <w:pStyle w:val="Normal"/>
        <w:spacing w:lineRule="auto" w:line="240"/>
        <w:jc w:val="both"/>
        <w:rPr>
          <w:rFonts w:ascii="Verdana" w:hAnsi="Verdana"/>
        </w:rPr>
      </w:pPr>
      <w:r>
        <w:rPr>
          <w:rFonts w:cs="Arial" w:ascii="Verdana" w:hAnsi="Verdana"/>
          <w:sz w:val="20"/>
          <w:lang w:eastAsia="zh-CN"/>
        </w:rPr>
        <w:t>Departamento de Almoxarifado Central</w:t>
      </w:r>
    </w:p>
    <w:p>
      <w:pPr>
        <w:pStyle w:val="Normal"/>
        <w:spacing w:lineRule="auto" w:line="240"/>
        <w:jc w:val="both"/>
        <w:rPr>
          <w:rFonts w:ascii="Verdana" w:hAnsi="Verdana"/>
        </w:rPr>
      </w:pPr>
      <w:r>
        <w:rPr>
          <w:rFonts w:cs="Arial" w:ascii="Verdana" w:hAnsi="Verdana"/>
          <w:sz w:val="20"/>
        </w:rPr>
        <w:t>São Gabriel da Palha – ES</w:t>
      </w:r>
    </w:p>
    <w:p>
      <w:pPr>
        <w:pStyle w:val="Normal"/>
        <w:spacing w:lineRule="auto" w:line="240"/>
        <w:jc w:val="both"/>
        <w:rPr>
          <w:rFonts w:ascii="Verdana" w:hAnsi="Verdana"/>
        </w:rPr>
      </w:pPr>
      <w:r>
        <w:rPr>
          <w:rFonts w:ascii="Verdana" w:hAnsi="Verdana"/>
          <w:sz w:val="20"/>
        </w:rPr>
        <w:t>CEP 29.7800-000</w:t>
      </w:r>
    </w:p>
    <w:p>
      <w:pPr>
        <w:pStyle w:val="Normal"/>
        <w:spacing w:lineRule="auto" w:line="240"/>
        <w:jc w:val="both"/>
        <w:rPr>
          <w:rFonts w:ascii="Verdana" w:hAnsi="Verdana"/>
        </w:rPr>
      </w:pPr>
      <w:r>
        <w:rPr>
          <w:rFonts w:cs="Arial" w:ascii="Verdana" w:hAnsi="Verdana"/>
          <w:sz w:val="20"/>
        </w:rPr>
        <w:t xml:space="preserve">5.3.1. </w:t>
      </w:r>
      <w:r>
        <w:rPr>
          <w:rFonts w:cs="Arial" w:ascii="Verdana" w:hAnsi="Verdana"/>
          <w:iCs/>
          <w:sz w:val="20"/>
        </w:rPr>
        <w:t>ÁREA REQUISITANTE</w:t>
      </w:r>
    </w:p>
    <w:p>
      <w:pPr>
        <w:pStyle w:val="Normal"/>
        <w:spacing w:lineRule="auto" w:line="240"/>
        <w:jc w:val="both"/>
        <w:rPr>
          <w:rFonts w:ascii="Verdana" w:hAnsi="Verdana"/>
        </w:rPr>
      </w:pPr>
      <w:r>
        <w:rPr>
          <w:rFonts w:cs="Arial" w:ascii="Verdana" w:hAnsi="Verdana"/>
          <w:sz w:val="20"/>
        </w:rPr>
        <w:t>- CONTATO</w:t>
      </w:r>
    </w:p>
    <w:p>
      <w:pPr>
        <w:pStyle w:val="Normal"/>
        <w:spacing w:lineRule="auto" w:line="240"/>
        <w:jc w:val="both"/>
        <w:rPr>
          <w:rFonts w:ascii="Verdana" w:hAnsi="Verdana"/>
        </w:rPr>
      </w:pPr>
      <w:r>
        <w:rPr>
          <w:rFonts w:cs="Arial" w:ascii="Verdana" w:hAnsi="Verdana"/>
          <w:sz w:val="20"/>
        </w:rPr>
        <w:t>Tel: 27 3727-1366</w:t>
      </w:r>
    </w:p>
    <w:p>
      <w:pPr>
        <w:pStyle w:val="Normal"/>
        <w:spacing w:lineRule="auto" w:line="240"/>
        <w:jc w:val="both"/>
        <w:rPr>
          <w:rFonts w:ascii="Verdana" w:hAnsi="Verdana"/>
        </w:rPr>
      </w:pPr>
      <w:r>
        <w:rPr>
          <w:rFonts w:cs="Arial" w:ascii="Verdana" w:hAnsi="Verdana"/>
          <w:sz w:val="20"/>
        </w:rPr>
        <w:t>Email: administracao</w:t>
      </w:r>
      <w:r>
        <w:rPr>
          <w:rFonts w:cs="Arial" w:ascii="Verdana" w:hAnsi="Verdana"/>
          <w:sz w:val="20"/>
          <w:lang w:eastAsia="zh-CN"/>
        </w:rPr>
        <w:t>@saogabriel.es.gov.br</w:t>
      </w:r>
    </w:p>
    <w:p>
      <w:pPr>
        <w:pStyle w:val="Normal"/>
        <w:spacing w:lineRule="auto" w:line="240"/>
        <w:jc w:val="both"/>
        <w:rPr>
          <w:rFonts w:ascii="Verdana" w:hAnsi="Verdana"/>
        </w:rPr>
      </w:pPr>
      <w:r>
        <w:rPr>
          <w:rFonts w:ascii="Verdana" w:hAnsi="Verdana"/>
          <w:sz w:val="20"/>
        </w:rPr>
        <w:t>Responsável: Secretaria Municipal de Administração</w:t>
      </w:r>
    </w:p>
    <w:p>
      <w:pPr>
        <w:pStyle w:val="Normal"/>
        <w:spacing w:lineRule="auto" w:line="240"/>
        <w:jc w:val="both"/>
        <w:rPr>
          <w:rFonts w:ascii="Verdana" w:hAnsi="Verdana"/>
        </w:rPr>
      </w:pPr>
      <w:r>
        <w:rPr>
          <w:rFonts w:cs="Arial" w:ascii="Verdana" w:hAnsi="Verdana"/>
          <w:sz w:val="20"/>
        </w:rPr>
        <w:t>5.4. O prazo de validade na data da entrega não poderá ser inferior à metade do prazo total recomendado pelo fabricante.</w:t>
      </w:r>
    </w:p>
    <w:p>
      <w:pPr>
        <w:pStyle w:val="Normal"/>
        <w:spacing w:lineRule="auto" w:line="240"/>
        <w:jc w:val="both"/>
        <w:rPr>
          <w:rFonts w:ascii="Verdana" w:hAnsi="Verdana"/>
        </w:rPr>
      </w:pPr>
      <w:r>
        <w:rPr>
          <w:rFonts w:cs="Arial" w:ascii="Verdana" w:hAnsi="Verdana"/>
          <w:sz w:val="20"/>
        </w:rPr>
        <w:t>5.5. Os itens serão recebidos pelo (a) responsável pelo acompanhamento e fiscalização da ata de registro de preços, para efeito de posterior verificação de sua conformidade com as especificações constantes neste Termo de Referência e na proposta.</w:t>
      </w:r>
    </w:p>
    <w:p>
      <w:pPr>
        <w:pStyle w:val="Normal"/>
        <w:spacing w:lineRule="auto" w:line="240"/>
        <w:jc w:val="both"/>
        <w:rPr>
          <w:rFonts w:ascii="Verdana" w:hAnsi="Verdana"/>
        </w:rPr>
      </w:pPr>
      <w:r>
        <w:rPr>
          <w:rFonts w:cs="Arial" w:ascii="Verdana" w:hAnsi="Verdana"/>
          <w:sz w:val="20"/>
        </w:rPr>
        <w:t>5.6. Os itens poderão ser rejeitados, no todo ou em parte, quando em desacordo com as especificações constantes neste Termo de Referência e na proposta, devendo ser substituídos em tempo hábil, antes de seu consumo em evento/reunião/encontro marcado, a contar da notificação da contratada, às suas custas, sem prejuízo da aplicação das penalidades.</w:t>
      </w:r>
      <w:r>
        <w:rPr>
          <w:rFonts w:ascii="Verdana" w:hAnsi="Verdana"/>
          <w:sz w:val="20"/>
        </w:rPr>
        <w:br/>
        <w:t>5</w:t>
      </w:r>
      <w:r>
        <w:rPr>
          <w:rFonts w:cs="Arial" w:ascii="Verdana" w:hAnsi="Verdana"/>
          <w:sz w:val="20"/>
        </w:rPr>
        <w:t>.7. O recebimento provisório ou definitivo do objeto não exclui a responsabilidade da contratada pelos prejuízos resultantes da incorreta execução do contrato.</w:t>
      </w:r>
    </w:p>
    <w:p>
      <w:pPr>
        <w:pStyle w:val="Normal"/>
        <w:spacing w:lineRule="auto" w:line="240"/>
        <w:jc w:val="both"/>
        <w:rPr>
          <w:rFonts w:ascii="Verdana" w:hAnsi="Verdana"/>
          <w:sz w:val="20"/>
        </w:rPr>
      </w:pPr>
      <w:r>
        <w:rPr>
          <w:rFonts w:ascii="Verdana" w:hAnsi="Verdana"/>
          <w:sz w:val="20"/>
        </w:rPr>
      </w:r>
    </w:p>
    <w:p>
      <w:pPr>
        <w:pStyle w:val="Normal"/>
        <w:spacing w:lineRule="auto" w:line="240" w:before="57" w:after="57"/>
        <w:jc w:val="both"/>
        <w:rPr>
          <w:rFonts w:ascii="Verdana" w:hAnsi="Verdana"/>
        </w:rPr>
      </w:pPr>
      <w:bookmarkStart w:id="1" w:name="page66R_mcid15"/>
      <w:bookmarkStart w:id="2" w:name="page66R_mcid16"/>
      <w:bookmarkEnd w:id="1"/>
      <w:bookmarkEnd w:id="2"/>
      <w:r>
        <w:rPr>
          <w:rFonts w:cs="Arial" w:ascii="Verdana" w:hAnsi="Verdana"/>
          <w:b/>
          <w:bCs/>
          <w:sz w:val="20"/>
        </w:rPr>
        <w:t>6. OBRIGAÇÕES DA CONTRATANTE</w:t>
      </w:r>
    </w:p>
    <w:p>
      <w:pPr>
        <w:pStyle w:val="Normal"/>
        <w:spacing w:lineRule="auto" w:line="240" w:before="57" w:after="57"/>
        <w:jc w:val="both"/>
        <w:rPr>
          <w:rFonts w:ascii="Verdana" w:hAnsi="Verdana"/>
        </w:rPr>
      </w:pPr>
      <w:r>
        <w:rPr>
          <w:rFonts w:cs="Arial" w:ascii="Verdana" w:hAnsi="Verdana"/>
          <w:sz w:val="20"/>
        </w:rPr>
        <w:t>6.1. Receber os objetos no prazo e condições estabelecidas neste Termo de Referência e seus anexos.</w:t>
      </w:r>
      <w:r>
        <w:rPr>
          <w:rFonts w:ascii="Verdana" w:hAnsi="Verdana"/>
          <w:sz w:val="20"/>
        </w:rPr>
        <w:br/>
        <w:t>6</w:t>
      </w:r>
      <w:r>
        <w:rPr>
          <w:rFonts w:cs="Arial" w:ascii="Verdana" w:hAnsi="Verdana"/>
          <w:sz w:val="20"/>
        </w:rPr>
        <w:t>.2. Verificar minuciosamente, no prazo fixado, a conformidade dos bens recebidos provisoriamente com as especificações constantes neste Termo de Referência e da proposta, para fins de aceitação e recebimento definitivo.</w:t>
      </w:r>
      <w:bookmarkStart w:id="3" w:name="page68R_mcid1"/>
    </w:p>
    <w:p>
      <w:pPr>
        <w:pStyle w:val="Normal"/>
        <w:spacing w:lineRule="auto" w:line="240" w:before="57" w:after="57"/>
        <w:jc w:val="both"/>
        <w:rPr>
          <w:rFonts w:ascii="Verdana" w:hAnsi="Verdana"/>
        </w:rPr>
      </w:pPr>
      <w:r>
        <w:rPr>
          <w:rFonts w:cs="Arial" w:ascii="Verdana" w:hAnsi="Verdana"/>
          <w:sz w:val="20"/>
        </w:rPr>
        <w:t>6.3. Comunicar à Contratada, por escrito, sobre imperfeições, falhas ou irregularidades verificadas no objeto fornecido, para que seja substituído, reparado ou corrigido.</w:t>
      </w:r>
    </w:p>
    <w:p>
      <w:pPr>
        <w:pStyle w:val="Normal"/>
        <w:spacing w:lineRule="auto" w:line="240" w:before="57" w:after="57"/>
        <w:jc w:val="both"/>
        <w:rPr>
          <w:rFonts w:ascii="Verdana" w:hAnsi="Verdana"/>
        </w:rPr>
      </w:pPr>
      <w:r>
        <w:rPr>
          <w:rFonts w:cs="Arial" w:ascii="Verdana" w:hAnsi="Verdana"/>
          <w:sz w:val="20"/>
        </w:rPr>
        <w:t>6.4. Acompanhar e fiscalizar o cumprimento das obrigações da Contratada, através de comissão/servidor especialmente designado.</w:t>
      </w:r>
    </w:p>
    <w:p>
      <w:pPr>
        <w:pStyle w:val="Normal"/>
        <w:spacing w:lineRule="auto" w:line="240" w:before="57" w:after="57"/>
        <w:jc w:val="both"/>
        <w:rPr>
          <w:rFonts w:ascii="Verdana" w:hAnsi="Verdana"/>
        </w:rPr>
      </w:pPr>
      <w:r>
        <w:rPr>
          <w:rFonts w:cs="Arial" w:ascii="Verdana" w:hAnsi="Verdana"/>
          <w:sz w:val="20"/>
        </w:rPr>
        <w:t>6.5. Efetuar o pagamento à Contratada no valor correspondente ao fornecimento dos objetos, no prazo e forma estabelecidos neste TR e seus anexos.</w:t>
      </w:r>
    </w:p>
    <w:p>
      <w:pPr>
        <w:pStyle w:val="Normal"/>
        <w:spacing w:lineRule="auto" w:line="240" w:before="0" w:after="0"/>
        <w:jc w:val="both"/>
        <w:rPr>
          <w:rFonts w:ascii="Verdana" w:hAnsi="Verdana"/>
        </w:rPr>
      </w:pPr>
      <w:r>
        <w:rPr>
          <w:rFonts w:cs="Arial" w:ascii="Verdana" w:hAnsi="Verdana"/>
          <w:sz w:val="20"/>
        </w:rPr>
        <w:t>6.6.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pPr>
        <w:pStyle w:val="Normal"/>
        <w:spacing w:lineRule="auto" w:line="240"/>
        <w:jc w:val="both"/>
        <w:rPr>
          <w:rFonts w:ascii="Verdana" w:hAnsi="Verdana" w:cs="Arial"/>
          <w:b/>
          <w:bCs/>
          <w:sz w:val="20"/>
        </w:rPr>
      </w:pPr>
      <w:r>
        <w:rPr>
          <w:rFonts w:cs="Arial" w:ascii="Verdana" w:hAnsi="Verdana"/>
          <w:b/>
          <w:bCs/>
          <w:sz w:val="20"/>
        </w:rPr>
      </w:r>
    </w:p>
    <w:p>
      <w:pPr>
        <w:pStyle w:val="Normal"/>
        <w:spacing w:lineRule="auto" w:line="240" w:before="0" w:after="0"/>
        <w:jc w:val="both"/>
        <w:rPr>
          <w:rFonts w:ascii="Verdana" w:hAnsi="Verdana"/>
        </w:rPr>
      </w:pPr>
      <w:r>
        <w:rPr>
          <w:rFonts w:cs="Arial" w:ascii="Verdana" w:hAnsi="Verdana"/>
          <w:b/>
          <w:bCs/>
          <w:sz w:val="20"/>
        </w:rPr>
        <w:t>7. OBRIGAÇÕES DA CONTRATADA</w:t>
      </w:r>
      <w:bookmarkStart w:id="4" w:name="page68R_mcid7"/>
    </w:p>
    <w:p>
      <w:pPr>
        <w:pStyle w:val="Normal"/>
        <w:spacing w:lineRule="auto" w:line="240"/>
        <w:jc w:val="both"/>
        <w:rPr>
          <w:rFonts w:ascii="Verdana" w:hAnsi="Verdana"/>
        </w:rPr>
      </w:pPr>
      <w:r>
        <w:rPr>
          <w:rFonts w:cs="Arial" w:ascii="Verdana" w:hAnsi="Verdana"/>
          <w:sz w:val="20"/>
        </w:rPr>
        <w:t>7.1. A Contratada deve cumprir todas as obrigações constantes neste Termo de Referência, seus anexos e sua proposta, assumindo como exclusivamente seus os riscos e as despesas decorrentes da boa e perfeita execução do objeto.</w:t>
      </w:r>
    </w:p>
    <w:p>
      <w:pPr>
        <w:pStyle w:val="Normal"/>
        <w:spacing w:lineRule="auto" w:line="240"/>
        <w:jc w:val="both"/>
        <w:rPr>
          <w:rFonts w:ascii="Verdana" w:hAnsi="Verdana"/>
        </w:rPr>
      </w:pPr>
      <w:r>
        <w:rPr>
          <w:rFonts w:cs="Arial" w:ascii="Verdana" w:hAnsi="Verdana"/>
          <w:sz w:val="20"/>
        </w:rPr>
        <w:t>7.2. Efetuar a entrega dos itens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jc w:val="both"/>
        <w:rPr>
          <w:rFonts w:ascii="Verdana" w:hAnsi="Verdana"/>
        </w:rPr>
      </w:pPr>
      <w:r>
        <w:rPr>
          <w:rFonts w:cs="Arial" w:ascii="Verdana" w:hAnsi="Verdana"/>
          <w:sz w:val="20"/>
        </w:rPr>
        <w:t>7.3. Responsabilizar-se pelos vícios e danos decorrentes do objeto, de acordo com os artigos 12, 13 e 17 a 27, do Código de Defesa do Consumidor (Lei nº 8.078, de 1990).</w:t>
      </w:r>
    </w:p>
    <w:p>
      <w:pPr>
        <w:pStyle w:val="Normal"/>
        <w:spacing w:lineRule="auto" w:line="240"/>
        <w:jc w:val="both"/>
        <w:rPr>
          <w:rFonts w:ascii="Verdana" w:hAnsi="Verdana"/>
        </w:rPr>
      </w:pPr>
      <w:r>
        <w:rPr>
          <w:rFonts w:cs="Arial" w:ascii="Verdana" w:hAnsi="Verdana"/>
          <w:sz w:val="20"/>
        </w:rPr>
        <w:t>7.4. Substituir, reparar ou corrigir, às suas expensas, no prazo fixado neste Termo de Referência, o objeto com avarias ou defeitos.</w:t>
      </w:r>
    </w:p>
    <w:p>
      <w:pPr>
        <w:pStyle w:val="Normal"/>
        <w:spacing w:lineRule="auto" w:line="240"/>
        <w:jc w:val="both"/>
        <w:rPr>
          <w:rFonts w:ascii="Verdana" w:hAnsi="Verdana"/>
        </w:rPr>
      </w:pPr>
      <w:r>
        <w:rPr>
          <w:rFonts w:cs="Arial" w:ascii="Verdana" w:hAnsi="Verdana"/>
          <w:sz w:val="20"/>
        </w:rPr>
        <w:t>7.5. Comunicar à Contratante, no prazo máximo de 72 (setenta e duas) horas que antecede a data da entrega, os motivos que impossibilitem o cumprimento do prazo previsto, com a devida comprovação.</w:t>
      </w:r>
    </w:p>
    <w:p>
      <w:pPr>
        <w:pStyle w:val="Normal"/>
        <w:spacing w:lineRule="auto" w:line="240"/>
        <w:jc w:val="both"/>
        <w:rPr>
          <w:rFonts w:ascii="Verdana" w:hAnsi="Verdana"/>
        </w:rPr>
      </w:pPr>
      <w:r>
        <w:rPr>
          <w:rFonts w:cs="Arial" w:ascii="Verdana" w:hAnsi="Verdana"/>
          <w:sz w:val="20"/>
        </w:rPr>
        <w:t>7.6. Manter, durante toda a execução da ata de registro de preços, em compatibilidade com as obrigações assumidas, todas as condições de habilitação e qualificação exigidas na licitação.</w:t>
      </w:r>
    </w:p>
    <w:p>
      <w:pPr>
        <w:pStyle w:val="Normal"/>
        <w:tabs>
          <w:tab w:val="clear" w:pos="708"/>
          <w:tab w:val="left" w:pos="0" w:leader="none"/>
        </w:tabs>
        <w:spacing w:lineRule="auto" w:line="240"/>
        <w:jc w:val="both"/>
        <w:rPr>
          <w:rFonts w:ascii="Verdana" w:hAnsi="Verdana"/>
        </w:rPr>
      </w:pPr>
      <w:r>
        <w:rPr>
          <w:rFonts w:cs="Arial" w:ascii="Verdana" w:hAnsi="Verdana"/>
          <w:sz w:val="20"/>
        </w:rPr>
        <w:t>7.7. Indicar preposto para representá-la durante a execução da ata de registro de preços.</w:t>
      </w:r>
    </w:p>
    <w:p>
      <w:pPr>
        <w:pStyle w:val="Normal"/>
        <w:tabs>
          <w:tab w:val="clear" w:pos="708"/>
          <w:tab w:val="left" w:pos="450" w:leader="none"/>
        </w:tabs>
        <w:spacing w:lineRule="auto" w:line="240"/>
        <w:jc w:val="both"/>
        <w:rPr>
          <w:rFonts w:ascii="Verdana" w:hAnsi="Verdana"/>
        </w:rPr>
      </w:pPr>
      <w:r>
        <w:rPr>
          <w:rFonts w:cs="Arial" w:ascii="Verdana" w:hAnsi="Verdana"/>
          <w:sz w:val="20"/>
        </w:rPr>
        <w:t>7.8. 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jc w:val="both"/>
        <w:rPr>
          <w:rFonts w:ascii="Verdana" w:hAnsi="Verdana"/>
        </w:rPr>
      </w:pPr>
      <w:r>
        <w:rPr>
          <w:rFonts w:cs="Arial" w:ascii="Verdana" w:hAnsi="Verdana"/>
          <w:sz w:val="20"/>
        </w:rPr>
        <w:t>7.9. Durante a execução da ata de registro de preços, a CONTRATADA deverá:</w:t>
      </w:r>
      <w:r>
        <w:rPr>
          <w:rFonts w:ascii="Verdana" w:hAnsi="Verdana"/>
          <w:sz w:val="20"/>
        </w:rPr>
        <w:br/>
        <w:t>7</w:t>
      </w:r>
      <w:r>
        <w:rPr>
          <w:rFonts w:cs="Arial" w:ascii="Verdana" w:hAnsi="Verdana"/>
          <w:sz w:val="20"/>
        </w:rPr>
        <w:t>.9.1. Atender prontamente às solicitações de cada unidade/secretaria nas quantidades e especificações das autorizações emitidas.</w:t>
      </w:r>
      <w:bookmarkStart w:id="5" w:name="page68R_mcid17"/>
    </w:p>
    <w:p>
      <w:pPr>
        <w:pStyle w:val="Normal"/>
        <w:tabs>
          <w:tab w:val="clear" w:pos="708"/>
          <w:tab w:val="left" w:pos="0" w:leader="none"/>
        </w:tabs>
        <w:spacing w:lineRule="auto" w:line="240"/>
        <w:jc w:val="both"/>
        <w:rPr>
          <w:rFonts w:ascii="Verdana" w:hAnsi="Verdana"/>
        </w:rPr>
      </w:pPr>
      <w:r>
        <w:rPr>
          <w:rFonts w:cs="Arial" w:ascii="Verdana" w:hAnsi="Verdana"/>
          <w:sz w:val="20"/>
        </w:rPr>
        <w:t>7.9.2. Entregar os itens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jc w:val="both"/>
        <w:rPr>
          <w:rFonts w:ascii="Verdana" w:hAnsi="Verdana"/>
        </w:rPr>
      </w:pPr>
      <w:r>
        <w:rPr>
          <w:rFonts w:cs="Arial" w:ascii="Verdana" w:hAnsi="Verdana"/>
          <w:sz w:val="20"/>
        </w:rPr>
        <w:t>7.9.3. A nota fiscal deverá ser acompanhada pelas Certidões de Regularidades Fiscais.</w:t>
      </w:r>
      <w:r>
        <w:rPr>
          <w:rFonts w:ascii="Verdana" w:hAnsi="Verdana"/>
          <w:sz w:val="20"/>
        </w:rPr>
        <w:br/>
        <w:t>7</w:t>
      </w:r>
      <w:r>
        <w:rPr>
          <w:rFonts w:cs="Arial" w:ascii="Verdana" w:hAnsi="Verdana"/>
          <w:sz w:val="20"/>
        </w:rPr>
        <w:t>.9.4. Substituir quaisquer itens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jc w:val="both"/>
        <w:rPr>
          <w:rFonts w:ascii="Verdana" w:hAnsi="Verdana"/>
          <w:sz w:val="20"/>
        </w:rPr>
      </w:pPr>
      <w:r>
        <w:rPr>
          <w:rFonts w:ascii="Verdana" w:hAnsi="Verdana"/>
          <w:sz w:val="20"/>
        </w:rPr>
      </w:r>
      <w:bookmarkStart w:id="6" w:name="page68R_mcid20"/>
      <w:bookmarkStart w:id="7" w:name="page68R_mcid20"/>
      <w:bookmarkEnd w:id="7"/>
    </w:p>
    <w:p>
      <w:pPr>
        <w:pStyle w:val="Normal"/>
        <w:spacing w:lineRule="auto" w:line="240" w:before="57" w:after="57"/>
        <w:jc w:val="both"/>
        <w:rPr>
          <w:rFonts w:ascii="Verdana" w:hAnsi="Verdana"/>
        </w:rPr>
      </w:pPr>
      <w:r>
        <w:rPr>
          <w:rFonts w:cs="Arial" w:ascii="Verdana" w:hAnsi="Verdana"/>
          <w:b/>
          <w:bCs/>
          <w:sz w:val="20"/>
        </w:rPr>
        <w:t>8. DO CONTROLE E FISCALIZAÇÃO DA EXECUÇÃO</w:t>
      </w:r>
      <w:bookmarkStart w:id="8" w:name="page70R_mcid10"/>
    </w:p>
    <w:p>
      <w:pPr>
        <w:pStyle w:val="Normal"/>
        <w:spacing w:lineRule="auto" w:line="240"/>
        <w:jc w:val="both"/>
        <w:rPr>
          <w:rFonts w:ascii="Verdana" w:hAnsi="Verdana"/>
        </w:rPr>
      </w:pPr>
      <w:r>
        <w:rPr>
          <w:rFonts w:cs="Arial" w:ascii="Verdana" w:hAnsi="Verdana"/>
          <w:sz w:val="20"/>
        </w:rPr>
        <w:t>8.1.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240"/>
        <w:jc w:val="both"/>
        <w:rPr>
          <w:rFonts w:ascii="Verdana" w:hAnsi="Verdana"/>
        </w:rPr>
      </w:pPr>
      <w:r>
        <w:rPr>
          <w:rFonts w:cs="Arial" w:ascii="Verdana" w:hAnsi="Verdana"/>
          <w:sz w:val="20"/>
        </w:rPr>
        <w:t>8.2.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240"/>
        <w:jc w:val="both"/>
        <w:rPr>
          <w:rFonts w:ascii="Verdana" w:hAnsi="Verdana"/>
        </w:rPr>
      </w:pPr>
      <w:r>
        <w:rPr>
          <w:rFonts w:cs="Arial" w:ascii="Verdana" w:hAnsi="Verdana"/>
          <w:sz w:val="20"/>
        </w:rPr>
        <w:t>8.3. O representante da Administração anotará em registro próprio todas as ocorrências relacionadas com a execução da ata de registro de preços, indicando dia, mês e ano, bem como o nome dos funcionários eventualmente envolvidos, determinando o que</w:t>
      </w:r>
      <w:r>
        <w:rPr>
          <w:rFonts w:ascii="Verdana" w:hAnsi="Verdana"/>
          <w:sz w:val="20"/>
        </w:rPr>
        <w:br/>
      </w:r>
      <w:r>
        <w:rPr>
          <w:rFonts w:cs="Arial" w:ascii="Verdana" w:hAnsi="Verdana"/>
          <w:sz w:val="20"/>
        </w:rPr>
        <w:t xml:space="preserve">for necessário à regularização das falhas ou </w:t>
      </w:r>
      <w:r>
        <w:rPr>
          <w:rFonts w:ascii="Verdana" w:hAnsi="Verdana"/>
          <w:sz w:val="20"/>
        </w:rPr>
        <w:t>defeitos observados e encaminhando os apontamentos à autoridade competente para as providências cabíveis.</w:t>
      </w:r>
    </w:p>
    <w:p>
      <w:pPr>
        <w:pStyle w:val="Normal"/>
        <w:spacing w:lineRule="auto" w:line="240"/>
        <w:jc w:val="both"/>
        <w:rPr>
          <w:rFonts w:ascii="Verdana" w:hAnsi="Verdana"/>
          <w:sz w:val="20"/>
        </w:rPr>
      </w:pPr>
      <w:r>
        <w:rPr>
          <w:rFonts w:ascii="Verdana" w:hAnsi="Verdana"/>
          <w:sz w:val="20"/>
        </w:rPr>
      </w:r>
    </w:p>
    <w:p>
      <w:pPr>
        <w:pStyle w:val="Normal"/>
        <w:suppressAutoHyphens w:val="false"/>
        <w:spacing w:lineRule="auto" w:line="240"/>
        <w:jc w:val="both"/>
        <w:rPr>
          <w:rFonts w:ascii="Verdana" w:hAnsi="Verdana"/>
        </w:rPr>
      </w:pPr>
      <w:r>
        <w:rPr>
          <w:rFonts w:cs="Arial" w:ascii="Verdana" w:hAnsi="Verdana"/>
          <w:b/>
          <w:sz w:val="20"/>
        </w:rPr>
        <w:t>9. RESULTADOS PRETENDIDOS COM A CONTRATAÇÃO</w:t>
      </w:r>
    </w:p>
    <w:p>
      <w:pPr>
        <w:pStyle w:val="Normal"/>
        <w:spacing w:lineRule="auto" w:line="240"/>
        <w:jc w:val="both"/>
        <w:rPr>
          <w:rFonts w:ascii="Verdana" w:hAnsi="Verdana"/>
        </w:rPr>
      </w:pPr>
      <w:r>
        <w:rPr>
          <w:rFonts w:cs="Arial" w:ascii="Verdana" w:hAnsi="Verdana"/>
          <w:sz w:val="20"/>
        </w:rPr>
        <w:t>9.1.</w:t>
      </w:r>
      <w:r>
        <w:rPr>
          <w:rFonts w:cs="Arial" w:ascii="Verdana" w:hAnsi="Verdana"/>
          <w:sz w:val="20"/>
          <w:lang w:eastAsia="zh-CN"/>
        </w:rPr>
        <w:t xml:space="preserve"> Os resultados pretendidos com a contratação têm como pilar:</w:t>
      </w:r>
    </w:p>
    <w:p>
      <w:pPr>
        <w:pStyle w:val="Normal"/>
        <w:spacing w:lineRule="auto" w:line="240"/>
        <w:jc w:val="both"/>
        <w:rPr>
          <w:rFonts w:ascii="Verdana" w:hAnsi="Verdana"/>
        </w:rPr>
      </w:pPr>
      <w:r>
        <w:rPr>
          <w:rFonts w:cs="Arial" w:ascii="Verdana" w:hAnsi="Verdana"/>
          <w:sz w:val="20"/>
        </w:rPr>
        <w:t>a) Melhoria na qualidade da realização das tarefas.</w:t>
      </w:r>
    </w:p>
    <w:p>
      <w:pPr>
        <w:pStyle w:val="Normal"/>
        <w:spacing w:lineRule="auto" w:line="240"/>
        <w:jc w:val="both"/>
        <w:rPr>
          <w:rFonts w:ascii="Verdana" w:hAnsi="Verdana"/>
        </w:rPr>
      </w:pPr>
      <w:r>
        <w:rPr>
          <w:rFonts w:cs="Arial" w:ascii="Verdana" w:hAnsi="Verdana"/>
          <w:sz w:val="20"/>
        </w:rPr>
        <w:t>b) Melhoria na proteção e segurança dos servidores</w:t>
      </w:r>
    </w:p>
    <w:p>
      <w:pPr>
        <w:pStyle w:val="Normal"/>
        <w:spacing w:lineRule="auto" w:line="240"/>
        <w:jc w:val="both"/>
        <w:rPr>
          <w:rFonts w:ascii="Verdana" w:hAnsi="Verdana"/>
        </w:rPr>
      </w:pPr>
      <w:r>
        <w:rPr>
          <w:rFonts w:cs="Arial" w:ascii="Verdana" w:hAnsi="Verdana"/>
          <w:sz w:val="20"/>
        </w:rPr>
        <w:t>c) Melhoria no atendimento ao cidadão.</w:t>
      </w:r>
    </w:p>
    <w:p>
      <w:pPr>
        <w:pStyle w:val="Normal"/>
        <w:spacing w:lineRule="auto" w:line="240"/>
        <w:jc w:val="both"/>
        <w:rPr>
          <w:rFonts w:ascii="Verdana" w:hAnsi="Verdana"/>
        </w:rPr>
      </w:pPr>
      <w:r>
        <w:rPr>
          <w:rFonts w:cs="Arial" w:ascii="Verdana" w:hAnsi="Verdana"/>
          <w:sz w:val="20"/>
        </w:rPr>
        <w:t>d) Ambientes seguros.</w:t>
      </w:r>
    </w:p>
    <w:p>
      <w:pPr>
        <w:pStyle w:val="Normal"/>
        <w:spacing w:lineRule="auto" w:line="240"/>
        <w:jc w:val="both"/>
        <w:rPr>
          <w:rFonts w:ascii="Verdana" w:hAnsi="Verdana"/>
        </w:rPr>
      </w:pPr>
      <w:r>
        <w:rPr>
          <w:rFonts w:cs="Arial" w:ascii="Verdana" w:hAnsi="Verdana"/>
          <w:sz w:val="20"/>
          <w:lang w:eastAsia="zh-CN"/>
        </w:rPr>
        <w:t>e) Melhoria na qualidade de vida de servidores e cidadãos.</w:t>
      </w:r>
    </w:p>
    <w:p>
      <w:pPr>
        <w:pStyle w:val="Normal"/>
        <w:spacing w:lineRule="auto" w:line="240"/>
        <w:jc w:val="both"/>
        <w:rPr>
          <w:rFonts w:ascii="Verdana" w:hAnsi="Verdana" w:cs="Arial"/>
          <w:sz w:val="20"/>
          <w:lang w:eastAsia="zh-CN"/>
        </w:rPr>
      </w:pPr>
      <w:r>
        <w:rPr>
          <w:rFonts w:cs="Arial" w:ascii="Verdana" w:hAnsi="Verdana"/>
          <w:sz w:val="20"/>
          <w:lang w:eastAsia="zh-CN"/>
        </w:rPr>
      </w:r>
    </w:p>
    <w:p>
      <w:pPr>
        <w:pStyle w:val="Normal"/>
        <w:spacing w:lineRule="auto" w:line="240"/>
        <w:jc w:val="both"/>
        <w:rPr>
          <w:rFonts w:ascii="Verdana" w:hAnsi="Verdana"/>
        </w:rPr>
      </w:pPr>
      <w:r>
        <w:rPr>
          <w:rFonts w:cs="Arial" w:ascii="Verdana" w:hAnsi="Verdana"/>
          <w:b/>
          <w:bCs/>
          <w:sz w:val="20"/>
        </w:rPr>
        <w:t>10. REGULARIDADE FISCAL E TRABALHISTA</w:t>
      </w:r>
    </w:p>
    <w:p>
      <w:pPr>
        <w:pStyle w:val="Normal"/>
        <w:spacing w:lineRule="auto" w:line="240"/>
        <w:jc w:val="both"/>
        <w:rPr>
          <w:rFonts w:ascii="Verdana" w:hAnsi="Verdana"/>
        </w:rPr>
      </w:pPr>
      <w:r>
        <w:rPr>
          <w:rFonts w:cs="Arial" w:ascii="Verdana" w:hAnsi="Verdana"/>
          <w:sz w:val="20"/>
        </w:rPr>
        <w:t>10.1. Cópia de inscrição no Cadastro de Pessoas Jurídicas – CNPJ.</w:t>
      </w:r>
    </w:p>
    <w:p>
      <w:pPr>
        <w:pStyle w:val="Normal"/>
        <w:spacing w:lineRule="auto" w:line="240"/>
        <w:jc w:val="both"/>
        <w:rPr>
          <w:rFonts w:ascii="Verdana" w:hAnsi="Verdana"/>
        </w:rPr>
      </w:pPr>
      <w:r>
        <w:rPr>
          <w:rFonts w:cs="Arial" w:ascii="Verdana" w:hAnsi="Verdana"/>
          <w:sz w:val="20"/>
        </w:rPr>
        <w:t xml:space="preserve">10.2. 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40"/>
        <w:jc w:val="both"/>
        <w:rPr/>
      </w:pPr>
      <w:r>
        <w:rPr>
          <w:rFonts w:cs="Arial" w:ascii="Verdana" w:hAnsi="Verdana"/>
          <w:sz w:val="20"/>
        </w:rPr>
        <w:t xml:space="preserve">10.3.Prova de regularidade com a Fazenda Estadual, que poderá ser solicitada no site </w:t>
      </w:r>
      <w:hyperlink r:id="rId3">
        <w:r>
          <w:rPr>
            <w:rStyle w:val="ListLabel20"/>
            <w:rFonts w:cs="Arial" w:ascii="Verdana" w:hAnsi="Verdana"/>
            <w:sz w:val="20"/>
          </w:rPr>
          <w:t>https://internet.sefaz.es.gov.br</w:t>
        </w:r>
      </w:hyperlink>
      <w:r>
        <w:rPr>
          <w:rFonts w:cs="Arial" w:ascii="Verdana" w:hAnsi="Verdana"/>
          <w:sz w:val="20"/>
        </w:rPr>
        <w:t>;</w:t>
      </w:r>
    </w:p>
    <w:p>
      <w:pPr>
        <w:pStyle w:val="Normal"/>
        <w:spacing w:lineRule="auto" w:line="240"/>
        <w:jc w:val="both"/>
        <w:rPr>
          <w:rFonts w:ascii="Verdana" w:hAnsi="Verdana"/>
        </w:rPr>
      </w:pPr>
      <w:r>
        <w:rPr>
          <w:rFonts w:cs="Arial" w:ascii="Verdana" w:hAnsi="Verdana"/>
          <w:sz w:val="20"/>
        </w:rPr>
        <w:t>10.4. Prova de regularidade com a Fazenda Pública Municipal referente ao domicílio do interessado.</w:t>
      </w:r>
    </w:p>
    <w:p>
      <w:pPr>
        <w:pStyle w:val="Normal"/>
        <w:spacing w:lineRule="auto" w:line="240"/>
        <w:jc w:val="both"/>
        <w:rPr/>
      </w:pPr>
      <w:r>
        <w:rPr>
          <w:rFonts w:cs="Arial" w:ascii="Verdana" w:hAnsi="Verdana"/>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4">
        <w:r>
          <w:rPr>
            <w:rStyle w:val="Hyperlink"/>
            <w:rFonts w:cs="Arial" w:ascii="Verdana" w:hAnsi="Verdana"/>
            <w:color w:val="auto"/>
            <w:sz w:val="20"/>
          </w:rPr>
          <w:t>http://www.tst.jus.br</w:t>
        </w:r>
      </w:hyperlink>
      <w:r>
        <w:rPr>
          <w:rFonts w:cs="Arial" w:ascii="Verdana" w:hAnsi="Verdana"/>
          <w:sz w:val="20"/>
        </w:rPr>
        <w:t>.</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rPr>
      </w:pPr>
      <w:r>
        <w:rPr>
          <w:rFonts w:cs="Arial" w:ascii="Verdana" w:hAnsi="Verdana"/>
          <w:b/>
          <w:bCs/>
          <w:sz w:val="20"/>
        </w:rPr>
        <w:t>11. DAS SANÇÕES ADMINISTRATIVAS</w:t>
      </w:r>
    </w:p>
    <w:p>
      <w:pPr>
        <w:pStyle w:val="Normal"/>
        <w:spacing w:lineRule="auto" w:line="240"/>
        <w:jc w:val="both"/>
        <w:rPr>
          <w:rFonts w:ascii="Verdana" w:hAnsi="Verdana"/>
        </w:rPr>
      </w:pPr>
      <w:r>
        <w:rPr>
          <w:rFonts w:ascii="Verdana" w:hAnsi="Verdana"/>
          <w:iCs/>
          <w:sz w:val="20"/>
        </w:rPr>
        <w:t>11.1. Comete infração administrativa o fornecedor/prestador de serviço que cometer quaisquer das infrações previstas no art. 155 da Lei nº 14.133, de 2021, quais sejam:</w:t>
      </w:r>
    </w:p>
    <w:p>
      <w:pPr>
        <w:pStyle w:val="Normal"/>
        <w:spacing w:lineRule="auto" w:line="240"/>
        <w:jc w:val="both"/>
        <w:rPr>
          <w:rFonts w:ascii="Verdana" w:hAnsi="Verdana"/>
        </w:rPr>
      </w:pPr>
      <w:r>
        <w:rPr>
          <w:rFonts w:ascii="Verdana" w:hAnsi="Verdana"/>
          <w:iCs/>
          <w:sz w:val="20"/>
        </w:rPr>
        <w:t>11.1.1. Dar causa à inexecução parcial do contrato.</w:t>
      </w:r>
    </w:p>
    <w:p>
      <w:pPr>
        <w:pStyle w:val="Normal"/>
        <w:spacing w:lineRule="auto" w:line="240"/>
        <w:jc w:val="both"/>
        <w:rPr>
          <w:rFonts w:ascii="Verdana" w:hAnsi="Verdana"/>
        </w:rPr>
      </w:pPr>
      <w:r>
        <w:rPr>
          <w:rFonts w:ascii="Verdana" w:hAnsi="Verdana"/>
          <w:iCs/>
          <w:sz w:val="20"/>
        </w:rPr>
        <w:t>11.1.2. Dar causa à inexecução parcial que cause grave dano à Administração, ao funcionamento dos serviços públicos ou ao interesse coletivo.</w:t>
      </w:r>
    </w:p>
    <w:p>
      <w:pPr>
        <w:pStyle w:val="Normal"/>
        <w:spacing w:lineRule="auto" w:line="240"/>
        <w:jc w:val="both"/>
        <w:rPr>
          <w:rFonts w:ascii="Verdana" w:hAnsi="Verdana"/>
        </w:rPr>
      </w:pPr>
      <w:r>
        <w:rPr>
          <w:rFonts w:ascii="Verdana" w:hAnsi="Verdana"/>
          <w:iCs/>
          <w:sz w:val="20"/>
        </w:rPr>
        <w:t>11.1.3. Dar causa à inexecução total;</w:t>
      </w:r>
    </w:p>
    <w:p>
      <w:pPr>
        <w:pStyle w:val="Normal"/>
        <w:spacing w:lineRule="auto" w:line="240"/>
        <w:jc w:val="both"/>
        <w:rPr>
          <w:rFonts w:ascii="Verdana" w:hAnsi="Verdana"/>
        </w:rPr>
      </w:pPr>
      <w:r>
        <w:rPr>
          <w:rFonts w:ascii="Verdana" w:hAnsi="Verdana"/>
          <w:iCs/>
          <w:sz w:val="20"/>
        </w:rPr>
        <w:t>11.1.4. Deixar de entregar a documentação exigida para o certame.</w:t>
      </w:r>
    </w:p>
    <w:p>
      <w:pPr>
        <w:pStyle w:val="Normal"/>
        <w:spacing w:lineRule="auto" w:line="240"/>
        <w:jc w:val="both"/>
        <w:rPr>
          <w:rFonts w:ascii="Verdana" w:hAnsi="Verdana"/>
        </w:rPr>
      </w:pPr>
      <w:r>
        <w:rPr>
          <w:rFonts w:ascii="Verdana" w:hAnsi="Verdana"/>
          <w:iCs/>
          <w:sz w:val="20"/>
        </w:rPr>
        <w:t>11.1.5. Não manter a proposta, salvo em decorrência de fato superveniente devidamente justificado.</w:t>
      </w:r>
    </w:p>
    <w:p>
      <w:pPr>
        <w:pStyle w:val="Normal"/>
        <w:spacing w:lineRule="auto" w:line="240"/>
        <w:jc w:val="both"/>
        <w:rPr>
          <w:rFonts w:ascii="Verdana" w:hAnsi="Verdana"/>
        </w:rPr>
      </w:pPr>
      <w:r>
        <w:rPr>
          <w:rFonts w:ascii="Verdana" w:hAnsi="Verdana"/>
          <w:iCs/>
          <w:sz w:val="20"/>
        </w:rPr>
        <w:t xml:space="preserve">11.1.6. Não celebrar o contrato ou não entregar a documentação exigida para a contratação, quando convocado dentro do prazo de validade de sua proposta. </w:t>
      </w:r>
    </w:p>
    <w:p>
      <w:pPr>
        <w:pStyle w:val="Normal"/>
        <w:spacing w:lineRule="auto" w:line="240"/>
        <w:jc w:val="both"/>
        <w:rPr>
          <w:rFonts w:ascii="Verdana" w:hAnsi="Verdana"/>
        </w:rPr>
      </w:pPr>
      <w:r>
        <w:rPr>
          <w:rFonts w:ascii="Verdana" w:hAnsi="Verdana"/>
          <w:iCs/>
          <w:sz w:val="20"/>
        </w:rPr>
        <w:t>11.1.7. Ensejar o retardamento da execução ou da entrega do objeto sem motivo justificado,</w:t>
      </w:r>
    </w:p>
    <w:p>
      <w:pPr>
        <w:pStyle w:val="Normal"/>
        <w:spacing w:lineRule="auto" w:line="240"/>
        <w:jc w:val="both"/>
        <w:rPr>
          <w:rFonts w:ascii="Verdana" w:hAnsi="Verdana"/>
        </w:rPr>
      </w:pPr>
      <w:r>
        <w:rPr>
          <w:rFonts w:ascii="Verdana" w:hAnsi="Verdana"/>
          <w:iCs/>
          <w:sz w:val="20"/>
        </w:rPr>
        <w:t>11.1.8. Apresentar declaração ou documentação falsa exigida para o certame ou prestar declaração falsa durante O CERTAME ou a execução do objeto.</w:t>
      </w:r>
    </w:p>
    <w:p>
      <w:pPr>
        <w:pStyle w:val="Normal"/>
        <w:spacing w:lineRule="auto" w:line="240"/>
        <w:jc w:val="both"/>
        <w:rPr>
          <w:rFonts w:ascii="Verdana" w:hAnsi="Verdana"/>
        </w:rPr>
      </w:pPr>
      <w:r>
        <w:rPr>
          <w:rFonts w:ascii="Verdana" w:hAnsi="Verdana"/>
          <w:iCs/>
          <w:sz w:val="20"/>
        </w:rPr>
        <w:t>11.1.9. Fraudar o certame ou praticar ato fraudulento na execução do objeto.</w:t>
      </w:r>
    </w:p>
    <w:p>
      <w:pPr>
        <w:pStyle w:val="Normal"/>
        <w:spacing w:lineRule="auto" w:line="240"/>
        <w:jc w:val="both"/>
        <w:rPr>
          <w:rFonts w:ascii="Verdana" w:hAnsi="Verdana"/>
        </w:rPr>
      </w:pPr>
      <w:r>
        <w:rPr>
          <w:rFonts w:ascii="Verdana" w:hAnsi="Verdana"/>
          <w:iCs/>
          <w:sz w:val="20"/>
        </w:rPr>
        <w:t>11.1.10. Comportar-se de modo inidôneo ou cometer fraude de qualquer natureza.</w:t>
      </w:r>
    </w:p>
    <w:p>
      <w:pPr>
        <w:pStyle w:val="Normal"/>
        <w:spacing w:lineRule="auto" w:line="240"/>
        <w:jc w:val="both"/>
        <w:rPr>
          <w:rFonts w:ascii="Verdana" w:hAnsi="Verdana"/>
        </w:rPr>
      </w:pPr>
      <w:r>
        <w:rPr>
          <w:rFonts w:ascii="Verdana" w:hAnsi="Verdana"/>
          <w:iCs/>
          <w:sz w:val="20"/>
        </w:rPr>
        <w:t>11.1.10.1. Considera-se comportamento inidôneo, entre outros, a declaração falsa quanto às condições de participação, quanto ao enquadramento como ME/EPP ou o conluio entre os fornecedores, em qualquer momento do certame, mesmo após o encerramento da fase de lances.</w:t>
      </w:r>
    </w:p>
    <w:p>
      <w:pPr>
        <w:pStyle w:val="Normal"/>
        <w:spacing w:lineRule="auto" w:line="240"/>
        <w:jc w:val="both"/>
        <w:rPr>
          <w:rFonts w:ascii="Verdana" w:hAnsi="Verdana"/>
        </w:rPr>
      </w:pPr>
      <w:r>
        <w:rPr>
          <w:rFonts w:ascii="Verdana" w:hAnsi="Verdana"/>
          <w:iCs/>
          <w:sz w:val="20"/>
        </w:rPr>
        <w:t>11.1.11. Praticar atos ilícitos com vistas a frustrar os objetivos deste certame.</w:t>
      </w:r>
    </w:p>
    <w:p>
      <w:pPr>
        <w:pStyle w:val="Normal"/>
        <w:spacing w:lineRule="auto" w:line="240"/>
        <w:jc w:val="both"/>
        <w:rPr>
          <w:rFonts w:ascii="Verdana" w:hAnsi="Verdana"/>
        </w:rPr>
      </w:pPr>
      <w:r>
        <w:rPr>
          <w:rFonts w:ascii="Verdana" w:hAnsi="Verdana"/>
          <w:iCs/>
          <w:sz w:val="20"/>
        </w:rPr>
        <w:t>11.1.12. Praticar ato lesivo previsto no art. 5º da Lei nº 12.846, de 1º de agosto de 2013.</w:t>
      </w:r>
    </w:p>
    <w:p>
      <w:pPr>
        <w:pStyle w:val="Normal"/>
        <w:spacing w:lineRule="auto" w:line="240"/>
        <w:jc w:val="both"/>
        <w:rPr>
          <w:rFonts w:ascii="Verdana" w:hAnsi="Verdana"/>
        </w:rPr>
      </w:pPr>
      <w:r>
        <w:rPr>
          <w:rFonts w:ascii="Verdana" w:hAnsi="Verdana"/>
          <w:iCs/>
          <w:sz w:val="20"/>
        </w:rPr>
        <w:t>11.1.13. O fornecedor que cometer qualquer das infrações discriminadas nos subitens anteriores ficará sujeito, sem prejuízo da responsabilidade civil e criminal, às seguintes sanções:</w:t>
      </w:r>
    </w:p>
    <w:p>
      <w:pPr>
        <w:pStyle w:val="Normal"/>
        <w:spacing w:lineRule="auto" w:line="240"/>
        <w:jc w:val="both"/>
        <w:rPr>
          <w:rFonts w:ascii="Verdana" w:hAnsi="Verdana"/>
        </w:rPr>
      </w:pPr>
      <w:r>
        <w:rPr>
          <w:rFonts w:ascii="Verdana" w:hAnsi="Verdana"/>
          <w:iCs/>
          <w:sz w:val="20"/>
        </w:rPr>
        <w:t>a) Advertência pela falta do subitem 11.1.1 deste Termo de Referência, quando não se justificar a imposição de penalidade mais grave.</w:t>
      </w:r>
    </w:p>
    <w:p>
      <w:pPr>
        <w:pStyle w:val="Normal"/>
        <w:spacing w:lineRule="auto" w:line="240"/>
        <w:ind w:left="-57"/>
        <w:jc w:val="both"/>
        <w:rPr>
          <w:rFonts w:ascii="Verdana" w:hAnsi="Verdana"/>
        </w:rPr>
      </w:pPr>
      <w:r>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pPr>
        <w:pStyle w:val="Normal"/>
        <w:spacing w:lineRule="auto" w:line="240"/>
        <w:ind w:left="-57"/>
        <w:jc w:val="both"/>
        <w:rPr>
          <w:rFonts w:ascii="Verdana" w:hAnsi="Verdana"/>
        </w:rPr>
      </w:pPr>
      <w:r>
        <w:rPr>
          <w:rFonts w:ascii="Verdana" w:hAnsi="Verdana"/>
          <w:iCs/>
          <w:sz w:val="20"/>
        </w:rPr>
        <w:t>b.1) O valor da multa poderá ser descontado das faturas devidas à CONTRATADA;</w:t>
      </w:r>
    </w:p>
    <w:p>
      <w:pPr>
        <w:pStyle w:val="Normal"/>
        <w:spacing w:lineRule="auto" w:line="240"/>
        <w:jc w:val="both"/>
        <w:rPr>
          <w:rFonts w:ascii="Verdana" w:hAnsi="Verdana"/>
        </w:rPr>
      </w:pPr>
      <w:r>
        <w:rPr>
          <w:rFonts w:ascii="Verdana" w:hAnsi="Verdana"/>
          <w:iCs/>
          <w:sz w:val="20"/>
        </w:rPr>
        <w:t xml:space="preserve">b.2) A multa pode ser aplicada isoladamente ou juntamente com as penalidades definidas nos itens “c” e “d” abaixo: </w:t>
      </w:r>
    </w:p>
    <w:p>
      <w:pPr>
        <w:pStyle w:val="Normal"/>
        <w:spacing w:lineRule="auto" w:line="240"/>
        <w:jc w:val="both"/>
        <w:rPr>
          <w:rFonts w:ascii="Verdana" w:hAnsi="Verdana"/>
        </w:rPr>
      </w:pPr>
      <w:r>
        <w:rPr>
          <w:rFonts w:ascii="Verdana" w:hAnsi="Verdana"/>
          <w:iCs/>
          <w:sz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jc w:val="both"/>
        <w:rPr>
          <w:rFonts w:ascii="Verdana" w:hAnsi="Verdana"/>
        </w:rPr>
      </w:pPr>
      <w:r>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jc w:val="both"/>
        <w:rPr>
          <w:rFonts w:ascii="Verdana" w:hAnsi="Verdana"/>
        </w:rPr>
      </w:pPr>
      <w:r>
        <w:rPr>
          <w:rFonts w:ascii="Verdana" w:hAnsi="Verdana"/>
          <w:iCs/>
          <w:sz w:val="20"/>
        </w:rPr>
        <w:t>11.3. Na aplicação das sanções serão considerados:</w:t>
      </w:r>
    </w:p>
    <w:p>
      <w:pPr>
        <w:pStyle w:val="Normal"/>
        <w:spacing w:lineRule="auto" w:line="240"/>
        <w:jc w:val="both"/>
        <w:rPr>
          <w:rFonts w:ascii="Verdana" w:hAnsi="Verdana"/>
        </w:rPr>
      </w:pPr>
      <w:r>
        <w:rPr>
          <w:rFonts w:ascii="Verdana" w:hAnsi="Verdana"/>
          <w:iCs/>
          <w:sz w:val="20"/>
        </w:rPr>
        <w:t>11.3.1. A natureza e a gravidade da infração cometida.</w:t>
      </w:r>
    </w:p>
    <w:p>
      <w:pPr>
        <w:pStyle w:val="Normal"/>
        <w:spacing w:lineRule="auto" w:line="240"/>
        <w:jc w:val="both"/>
        <w:rPr>
          <w:rFonts w:ascii="Verdana" w:hAnsi="Verdana"/>
        </w:rPr>
      </w:pPr>
      <w:r>
        <w:rPr>
          <w:rFonts w:ascii="Verdana" w:hAnsi="Verdana"/>
          <w:iCs/>
          <w:sz w:val="20"/>
        </w:rPr>
        <w:t>11.3.2. As peculiaridades do caso concreto.</w:t>
      </w:r>
    </w:p>
    <w:p>
      <w:pPr>
        <w:pStyle w:val="Normal"/>
        <w:spacing w:lineRule="auto" w:line="240"/>
        <w:jc w:val="both"/>
        <w:rPr>
          <w:rFonts w:ascii="Verdana" w:hAnsi="Verdana"/>
        </w:rPr>
      </w:pPr>
      <w:r>
        <w:rPr>
          <w:rFonts w:ascii="Verdana" w:hAnsi="Verdana"/>
          <w:iCs/>
          <w:sz w:val="20"/>
        </w:rPr>
        <w:t>11.3.3. As circunstâncias agravantes ou atenuantes.</w:t>
      </w:r>
    </w:p>
    <w:p>
      <w:pPr>
        <w:pStyle w:val="Normal"/>
        <w:spacing w:lineRule="auto" w:line="240"/>
        <w:jc w:val="both"/>
        <w:rPr>
          <w:rFonts w:ascii="Verdana" w:hAnsi="Verdana"/>
        </w:rPr>
      </w:pPr>
      <w:r>
        <w:rPr>
          <w:rFonts w:ascii="Verdana" w:hAnsi="Verdana"/>
          <w:iCs/>
          <w:sz w:val="20"/>
        </w:rPr>
        <w:t>11.3.4. Os danos que dela provierem para a Administração Pública.</w:t>
      </w:r>
    </w:p>
    <w:p>
      <w:pPr>
        <w:pStyle w:val="Normal"/>
        <w:spacing w:lineRule="auto" w:line="240"/>
        <w:jc w:val="both"/>
        <w:rPr>
          <w:rFonts w:ascii="Verdana" w:hAnsi="Verdana"/>
        </w:rPr>
      </w:pPr>
      <w:r>
        <w:rPr>
          <w:rFonts w:ascii="Verdana" w:hAnsi="Verdana"/>
          <w:iCs/>
          <w:sz w:val="20"/>
        </w:rPr>
        <w:t>11.3.5. A implantação ou o aperfeiçoamento de programa de integridade, conforme normas e orientações dos órgãos de controle.</w:t>
      </w:r>
    </w:p>
    <w:p>
      <w:pPr>
        <w:pStyle w:val="Normal"/>
        <w:spacing w:lineRule="auto" w:line="240"/>
        <w:jc w:val="both"/>
        <w:rPr>
          <w:rFonts w:ascii="Verdana" w:hAnsi="Verdana"/>
        </w:rPr>
      </w:pPr>
      <w:r>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jc w:val="both"/>
        <w:rPr>
          <w:rFonts w:ascii="Verdana" w:hAnsi="Verdana"/>
        </w:rPr>
      </w:pPr>
      <w:r>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ind w:left="-79"/>
        <w:jc w:val="both"/>
        <w:rPr>
          <w:rFonts w:ascii="Verdana" w:hAnsi="Verdana"/>
        </w:rPr>
      </w:pPr>
      <w:r>
        <w:rPr>
          <w:rFonts w:ascii="Verdana" w:hAnsi="Verdana"/>
          <w:b/>
          <w:bCs/>
          <w:sz w:val="20"/>
          <w:lang w:eastAsia="en-US"/>
        </w:rPr>
        <w:t>12. DA HABILITAÇÃO</w:t>
      </w:r>
      <w:r>
        <w:rPr>
          <w:rFonts w:ascii="Verdana" w:hAnsi="Verdana"/>
          <w:sz w:val="20"/>
          <w:lang w:eastAsia="en-US"/>
        </w:rPr>
        <w:t xml:space="preserve"> </w:t>
      </w:r>
    </w:p>
    <w:p>
      <w:pPr>
        <w:pStyle w:val="Normal"/>
        <w:spacing w:lineRule="auto" w:line="240"/>
        <w:ind w:left="-79"/>
        <w:jc w:val="both"/>
        <w:rPr>
          <w:rFonts w:ascii="Verdana" w:hAnsi="Verdana"/>
        </w:rPr>
      </w:pPr>
      <w:r>
        <w:rPr>
          <w:rFonts w:cs="Verdana" w:ascii="Verdana" w:hAnsi="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jc w:val="both"/>
        <w:rPr>
          <w:rFonts w:ascii="Verdana" w:hAnsi="Verdana"/>
        </w:rPr>
      </w:pPr>
      <w:r>
        <w:rPr>
          <w:rFonts w:cs="Verdana" w:ascii="Verdana" w:hAnsi="Verdana"/>
          <w:sz w:val="20"/>
          <w:szCs w:val="20"/>
          <w:lang w:eastAsia="ar-SA"/>
        </w:rPr>
        <w:t>a) SICAF;</w:t>
      </w:r>
    </w:p>
    <w:p>
      <w:pPr>
        <w:pStyle w:val="ListParagraph"/>
        <w:spacing w:lineRule="auto" w:line="240" w:before="57" w:after="57"/>
        <w:ind w:left="0"/>
        <w:contextualSpacing/>
        <w:jc w:val="both"/>
        <w:rPr/>
      </w:pPr>
      <w:r>
        <w:rPr>
          <w:rFonts w:cs="Verdana" w:ascii="Verdana" w:hAnsi="Verdana"/>
          <w:sz w:val="20"/>
          <w:szCs w:val="20"/>
          <w:lang w:eastAsia="ar-SA"/>
        </w:rPr>
        <w:t>b) Cadastro Nacional de Empresas Inidôneas e Suspensas – CEIS, mantido pela Controladoria-Geral da União (</w:t>
      </w:r>
      <w:hyperlink r:id="rId5">
        <w:r>
          <w:rPr>
            <w:rStyle w:val="ListLabel22"/>
            <w:rFonts w:cs="Verdana" w:ascii="Verdana" w:hAnsi="Verdana"/>
            <w:sz w:val="20"/>
            <w:szCs w:val="20"/>
            <w:lang w:eastAsia="ar-SA"/>
          </w:rPr>
          <w:t>www.portaldatransparencia.gov.br/ceis</w:t>
        </w:r>
      </w:hyperlink>
      <w:r>
        <w:rPr>
          <w:rFonts w:cs="Verdana" w:ascii="Verdana" w:hAnsi="Verdana"/>
          <w:sz w:val="20"/>
          <w:szCs w:val="20"/>
          <w:lang w:eastAsia="ar-SA"/>
        </w:rPr>
        <w:t>);</w:t>
      </w:r>
    </w:p>
    <w:p>
      <w:pPr>
        <w:pStyle w:val="ListParagraph"/>
        <w:spacing w:lineRule="auto" w:line="240" w:before="57" w:after="57"/>
        <w:ind w:left="0"/>
        <w:contextualSpacing/>
        <w:jc w:val="both"/>
        <w:rPr/>
      </w:pPr>
      <w:r>
        <w:rPr>
          <w:rFonts w:cs="Verdana" w:ascii="Verdana" w:hAnsi="Verdana"/>
          <w:sz w:val="20"/>
          <w:szCs w:val="20"/>
          <w:lang w:eastAsia="ar-SA"/>
        </w:rPr>
        <w:t>c) Cadastro Nacional de Condenações Cíveis por Atos de Improbidade Administrativa, mantido pelo Conselho Nacional de Justiça (</w:t>
      </w:r>
      <w:hyperlink r:id="rId6">
        <w:r>
          <w:rPr>
            <w:rStyle w:val="ListLabel22"/>
            <w:rFonts w:cs="Verdana" w:ascii="Verdana" w:hAnsi="Verdana"/>
            <w:sz w:val="20"/>
            <w:szCs w:val="20"/>
            <w:lang w:eastAsia="ar-SA"/>
          </w:rPr>
          <w:t>www.cnj.jus.br/improbidade_adm/consultar_requerido.php</w:t>
        </w:r>
      </w:hyperlink>
      <w:r>
        <w:rPr>
          <w:rFonts w:cs="Verdana" w:ascii="Verdana" w:hAnsi="Verdana"/>
          <w:sz w:val="20"/>
          <w:szCs w:val="20"/>
          <w:lang w:eastAsia="ar-SA"/>
        </w:rPr>
        <w:t>).</w:t>
      </w:r>
    </w:p>
    <w:p>
      <w:pPr>
        <w:pStyle w:val="ListParagraph"/>
        <w:spacing w:lineRule="auto" w:line="240" w:before="57" w:after="57"/>
        <w:ind w:left="0"/>
        <w:contextualSpacing/>
        <w:jc w:val="both"/>
        <w:rPr>
          <w:rFonts w:ascii="Verdana" w:hAnsi="Verdana"/>
        </w:rPr>
      </w:pPr>
      <w:r>
        <w:rPr>
          <w:rFonts w:cs="Verdana"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sz w:val="20"/>
          <w:lang w:eastAsia="ar-SA"/>
        </w:rPr>
        <w:t>e) Cadastro de empresas inid</w:t>
      </w:r>
      <w:r>
        <w:rPr>
          <w:rFonts w:cs="Verdana"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7">
        <w:r>
          <w:rPr>
            <w:rStyle w:val="ListLabel23"/>
            <w:rFonts w:cs="Verdana" w:ascii="Verdana" w:hAnsi="Verdana"/>
            <w:sz w:val="20"/>
          </w:rPr>
          <w:t>https://www.tcees.tc.br/portal-da-transparencia/consultas/lista-de</w:t>
        </w:r>
      </w:hyperlink>
      <w:r>
        <w:rPr>
          <w:rFonts w:cs="Verdana" w:ascii="Verdana" w:hAnsi="Verdana"/>
          <w:sz w:val="20"/>
        </w:rPr>
        <w:t xml:space="preserve"> responsáveis/proibidos-de-contratar/).</w:t>
      </w:r>
    </w:p>
    <w:p>
      <w:pPr>
        <w:pStyle w:val="Normal"/>
        <w:spacing w:lineRule="auto" w:line="240" w:before="57" w:after="57"/>
        <w:jc w:val="both"/>
        <w:rPr/>
      </w:pPr>
      <w:r>
        <w:rPr>
          <w:rFonts w:cs="Verdana" w:ascii="Verdana" w:hAnsi="Verdana"/>
          <w:sz w:val="20"/>
          <w:lang w:eastAsia="ar-SA"/>
        </w:rPr>
        <w:t>12.1.1. Para a consulta de licitantes pessoa jurídica poderá haver a substituição das consultas das alíneas “b”, “c” e “d” acima pela Consulta Consolidada de Pessoa Jurídica do TCU (</w:t>
      </w:r>
      <w:hyperlink r:id="rId8">
        <w:r>
          <w:rPr>
            <w:rStyle w:val="ListLabel24"/>
            <w:rFonts w:cs="Verdana" w:ascii="Verdana" w:hAnsi="Verdana"/>
            <w:sz w:val="20"/>
            <w:lang w:eastAsia="ar-SA"/>
          </w:rPr>
          <w:t>https://certidoesapf.apps.tcu.gov.br/</w:t>
        </w:r>
      </w:hyperlink>
      <w:r>
        <w:rPr>
          <w:rFonts w:cs="Verdana" w:ascii="Verdana" w:hAnsi="Verdana"/>
          <w:sz w:val="20"/>
          <w:lang w:eastAsia="ar-SA"/>
        </w:rPr>
        <w:t>);</w:t>
      </w:r>
    </w:p>
    <w:p>
      <w:pPr>
        <w:pStyle w:val="Normal"/>
        <w:spacing w:lineRule="auto" w:line="240" w:before="57" w:after="57"/>
        <w:jc w:val="both"/>
        <w:rPr>
          <w:rFonts w:ascii="Verdana" w:hAnsi="Verdana"/>
        </w:rPr>
      </w:pPr>
      <w:r>
        <w:rPr>
          <w:rFonts w:cs="Verdana" w:ascii="Verdana" w:hAnsi="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contextualSpacing/>
        <w:jc w:val="both"/>
        <w:rPr>
          <w:rFonts w:ascii="Verdana" w:hAnsi="Verdana"/>
        </w:rPr>
      </w:pPr>
      <w:r>
        <w:rPr>
          <w:rFonts w:cs="Verdana" w:ascii="Verdana" w:hAnsi="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contextualSpacing/>
        <w:jc w:val="both"/>
        <w:rPr>
          <w:rFonts w:ascii="Verdana" w:hAnsi="Verdana"/>
        </w:rPr>
      </w:pPr>
      <w:r>
        <w:rPr>
          <w:rFonts w:cs="Verdana" w:ascii="Verdana" w:hAnsi="Verdana"/>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contextualSpacing/>
        <w:jc w:val="both"/>
        <w:rPr>
          <w:rFonts w:ascii="Verdana" w:hAnsi="Verdana"/>
        </w:rPr>
      </w:pPr>
      <w:r>
        <w:rPr>
          <w:rFonts w:cs="Verdana" w:ascii="Verdana" w:hAnsi="Verdana"/>
          <w:sz w:val="20"/>
          <w:szCs w:val="20"/>
        </w:rPr>
        <w:t>12.1.2.3. O licitante será convocado para manifestação previamente à sua desclassificação.</w:t>
      </w:r>
    </w:p>
    <w:p>
      <w:pPr>
        <w:pStyle w:val="ListParagraph"/>
        <w:spacing w:lineRule="auto" w:line="240" w:before="57" w:after="57"/>
        <w:ind w:left="0"/>
        <w:contextualSpacing/>
        <w:jc w:val="both"/>
        <w:rPr>
          <w:rFonts w:ascii="Verdana" w:hAnsi="Verdana"/>
        </w:rPr>
      </w:pPr>
      <w:r>
        <w:rPr>
          <w:rFonts w:cs="Verdana" w:ascii="Verdana" w:hAnsi="Verdana"/>
          <w:sz w:val="20"/>
          <w:szCs w:val="20"/>
        </w:rPr>
        <w:t>12.1.3 .Constatada a existência de sanção, o Pregoeiro reputará o licitante inabilitado, por falta de condição de participação.</w:t>
      </w:r>
    </w:p>
    <w:p>
      <w:pPr>
        <w:pStyle w:val="ListParagraph"/>
        <w:spacing w:lineRule="auto" w:line="240" w:before="57" w:after="57"/>
        <w:ind w:left="0"/>
        <w:contextualSpacing/>
        <w:jc w:val="both"/>
        <w:rPr>
          <w:rFonts w:ascii="Verdana" w:hAnsi="Verdana"/>
        </w:rPr>
      </w:pPr>
      <w:r>
        <w:rPr>
          <w:rFonts w:cs="Verdana" w:ascii="Verdana" w:hAnsi="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contextualSpacing/>
        <w:jc w:val="both"/>
        <w:rPr>
          <w:rFonts w:ascii="Verdana" w:hAnsi="Verdana"/>
        </w:rPr>
      </w:pPr>
      <w:r>
        <w:rPr>
          <w:rFonts w:cs="Verdana" w:ascii="Verdana" w:hAnsi="Verdana"/>
          <w:sz w:val="20"/>
          <w:szCs w:val="20"/>
          <w:lang w:eastAsia="ar-SA"/>
        </w:rPr>
        <w:t xml:space="preserve">12.2. </w:t>
      </w:r>
      <w:r>
        <w:rPr>
          <w:rFonts w:cs="Verdana" w:ascii="Verdana" w:hAnsi="Verdana"/>
          <w:sz w:val="20"/>
          <w:szCs w:val="20"/>
        </w:rPr>
        <w:t>Caso atendidas as condições de participação, a habilitação dos licitantes será verificada por meio do SICAF, nos documentos por ele abrangidos</w:t>
      </w:r>
      <w:r>
        <w:rPr>
          <w:rFonts w:cs="Verdana"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contextualSpacing/>
        <w:jc w:val="both"/>
        <w:rPr>
          <w:rFonts w:ascii="Verdana" w:hAnsi="Verdana"/>
        </w:rPr>
      </w:pPr>
      <w:r>
        <w:rPr>
          <w:rFonts w:cs="Verdana" w:ascii="Verdana" w:hAnsi="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contextualSpacing/>
        <w:jc w:val="both"/>
        <w:rPr>
          <w:rFonts w:ascii="Verdana" w:hAnsi="Verdana"/>
        </w:rPr>
      </w:pPr>
      <w:r>
        <w:rPr>
          <w:rFonts w:cs="Verdana" w:ascii="Verdana" w:hAnsi="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contextualSpacing/>
        <w:jc w:val="both"/>
        <w:rPr>
          <w:rFonts w:ascii="Verdana" w:hAnsi="Verdana"/>
        </w:rPr>
      </w:pPr>
      <w:r>
        <w:rPr>
          <w:rFonts w:cs="Verdana" w:ascii="Verdana" w:hAnsi="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contextualSpacing/>
        <w:jc w:val="both"/>
        <w:rPr>
          <w:rFonts w:ascii="Verdana" w:hAnsi="Verdana"/>
        </w:rPr>
      </w:pPr>
      <w:r>
        <w:rPr>
          <w:rFonts w:cs="Verdana" w:ascii="Verdana" w:hAnsi="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contextualSpacing/>
        <w:jc w:val="both"/>
        <w:rPr>
          <w:rFonts w:ascii="Verdana" w:hAnsi="Verdana"/>
        </w:rPr>
      </w:pPr>
      <w:r>
        <w:rPr>
          <w:rFonts w:cs="Verdana" w:ascii="Verdana" w:hAnsi="Verdana"/>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40" w:before="57" w:after="57"/>
        <w:ind w:left="0"/>
        <w:contextualSpacing/>
        <w:jc w:val="both"/>
        <w:rPr>
          <w:rFonts w:ascii="Verdana" w:hAnsi="Verdana"/>
        </w:rPr>
      </w:pPr>
      <w:r>
        <w:rPr>
          <w:rFonts w:cs="Verdana" w:ascii="Verdana" w:hAnsi="Verdana"/>
          <w:sz w:val="20"/>
          <w:szCs w:val="20"/>
        </w:rPr>
        <w:t>12.5. Não serão aceitos documentos de habilitação com indicação de CNPJ/CPF diferentes, salvo aqueles legalmente permitidos.</w:t>
      </w:r>
    </w:p>
    <w:p>
      <w:pPr>
        <w:pStyle w:val="ListParagraph"/>
        <w:spacing w:lineRule="auto" w:line="240" w:before="57" w:after="57"/>
        <w:ind w:left="0"/>
        <w:contextualSpacing/>
        <w:jc w:val="both"/>
        <w:rPr>
          <w:rFonts w:ascii="Verdana" w:hAnsi="Verdana"/>
        </w:rPr>
      </w:pPr>
      <w:r>
        <w:rPr>
          <w:rFonts w:cs="Verdana" w:ascii="Verdana" w:hAnsi="Verdana"/>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57" w:after="57"/>
        <w:ind w:hanging="0"/>
        <w:rPr>
          <w:rFonts w:ascii="Verdana" w:hAnsi="Verdana"/>
        </w:rPr>
      </w:pPr>
      <w:r>
        <w:rPr>
          <w:rFonts w:cs="Verdana" w:ascii="Verdana" w:hAnsi="Verdana"/>
          <w:sz w:val="20"/>
          <w:szCs w:val="20"/>
        </w:rPr>
        <w:t>12.7. Os licitantes deverão encaminhar, nos termos deste Edital, a documentação relacionada nos itens a seguir, para fins de habilitação:</w:t>
      </w:r>
    </w:p>
    <w:p>
      <w:pPr>
        <w:pStyle w:val="ListParagraph"/>
        <w:spacing w:lineRule="auto" w:line="240" w:before="57" w:after="57"/>
        <w:ind w:left="0"/>
        <w:contextualSpacing/>
        <w:jc w:val="both"/>
        <w:rPr>
          <w:rFonts w:ascii="Verdana" w:hAnsi="Verdana"/>
        </w:rPr>
      </w:pPr>
      <w:r>
        <w:rPr>
          <w:rFonts w:cs="Verdana" w:ascii="Verdana" w:hAnsi="Verdana"/>
          <w:b/>
          <w:bCs/>
          <w:sz w:val="20"/>
          <w:szCs w:val="20"/>
        </w:rPr>
        <w:t>12.8. Habilitação jurídica:</w:t>
      </w:r>
    </w:p>
    <w:p>
      <w:pPr>
        <w:pStyle w:val="ListParagraph"/>
        <w:spacing w:lineRule="auto" w:line="240" w:before="57" w:after="57"/>
        <w:ind w:left="0"/>
        <w:contextualSpacing/>
        <w:jc w:val="both"/>
        <w:rPr>
          <w:rFonts w:ascii="Verdana" w:hAnsi="Verdana"/>
        </w:rPr>
      </w:pPr>
      <w:r>
        <w:rPr>
          <w:rFonts w:cs="Verdana" w:ascii="Verdana" w:hAnsi="Verdana"/>
          <w:sz w:val="20"/>
          <w:szCs w:val="20"/>
        </w:rPr>
        <w:t>12.8.1. No caso de empresário individual: inscrição no Registro Público de Empresas Mercantis, a cargo da Junta Comercial da respectiva sede;</w:t>
      </w:r>
    </w:p>
    <w:p>
      <w:pPr>
        <w:pStyle w:val="ListParagraph"/>
        <w:spacing w:lineRule="auto" w:line="240" w:before="57" w:after="57"/>
        <w:ind w:left="0"/>
        <w:contextualSpacing/>
        <w:jc w:val="both"/>
        <w:rPr/>
      </w:pPr>
      <w:r>
        <w:rPr>
          <w:rFonts w:cs="Verdana" w:ascii="Verdana" w:hAnsi="Verdana"/>
          <w:sz w:val="20"/>
          <w:szCs w:val="20"/>
        </w:rPr>
        <w:t>12.8.2. Em se tratando de microempreendedor individual – MEI: Certificado da Condição de Microempreendedor Individual – CCMEI, cuja aceitação ficará condicionada à verificação da autenticidade no síti</w:t>
      </w:r>
      <w:r>
        <w:rPr>
          <w:rFonts w:cs="Verdana" w:ascii="Verdana" w:hAnsi="Verdana"/>
          <w:sz w:val="20"/>
          <w:szCs w:val="20"/>
          <w:u w:val="single"/>
        </w:rPr>
        <w:t xml:space="preserve">o </w:t>
      </w:r>
      <w:hyperlink r:id="rId9">
        <w:r>
          <w:rPr>
            <w:rStyle w:val="ListLabel25"/>
            <w:rFonts w:cs="Verdana" w:ascii="Verdana" w:hAnsi="Verdana"/>
            <w:sz w:val="20"/>
            <w:szCs w:val="20"/>
            <w:u w:val="single"/>
          </w:rPr>
          <w:t>www.portaldoempreendedor.gov.br</w:t>
        </w:r>
      </w:hyperlink>
      <w:r>
        <w:rPr>
          <w:rFonts w:cs="Verdana" w:ascii="Verdana" w:hAnsi="Verdana"/>
          <w:sz w:val="20"/>
          <w:szCs w:val="20"/>
          <w:u w:val="single"/>
        </w:rPr>
        <w:t>;</w:t>
      </w:r>
    </w:p>
    <w:p>
      <w:pPr>
        <w:pStyle w:val="ListParagraph"/>
        <w:spacing w:lineRule="auto" w:line="240" w:before="57" w:after="57"/>
        <w:ind w:left="0"/>
        <w:contextualSpacing/>
        <w:jc w:val="both"/>
        <w:rPr>
          <w:rFonts w:ascii="Verdana" w:hAnsi="Verdana"/>
        </w:rPr>
      </w:pPr>
      <w:r>
        <w:rPr>
          <w:rFonts w:cs="Verdana" w:ascii="Verdana" w:hAnsi="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contextualSpacing/>
        <w:jc w:val="both"/>
        <w:rPr>
          <w:rFonts w:ascii="Verdana" w:hAnsi="Verdana"/>
        </w:rPr>
      </w:pPr>
      <w:r>
        <w:rPr>
          <w:rFonts w:cs="Verdana" w:ascii="Verdana" w:hAnsi="Verdana"/>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contextualSpacing/>
        <w:jc w:val="both"/>
        <w:rPr>
          <w:rFonts w:ascii="Verdana" w:hAnsi="Verdana"/>
        </w:rPr>
      </w:pPr>
      <w:r>
        <w:rPr>
          <w:rFonts w:cs="Verdana" w:ascii="Verdana" w:hAnsi="Verdana"/>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contextualSpacing/>
        <w:jc w:val="both"/>
        <w:rPr>
          <w:rFonts w:ascii="Verdana" w:hAnsi="Verdana"/>
        </w:rPr>
      </w:pPr>
      <w:r>
        <w:rPr>
          <w:rFonts w:cs="Verdana" w:ascii="Verdana" w:hAnsi="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contextualSpacing/>
        <w:jc w:val="both"/>
        <w:rPr>
          <w:rFonts w:ascii="Verdana" w:hAnsi="Verdana"/>
        </w:rPr>
      </w:pPr>
      <w:r>
        <w:rPr>
          <w:rFonts w:cs="Verdana" w:ascii="Verdana" w:hAnsi="Verdana"/>
          <w:sz w:val="20"/>
          <w:szCs w:val="20"/>
        </w:rPr>
        <w:t>12.8.7. No caso de empresa ou sociedade estrangeira em funcionamento no País: decreto de autorização;</w:t>
      </w:r>
    </w:p>
    <w:p>
      <w:pPr>
        <w:pStyle w:val="ListParagraph"/>
        <w:spacing w:lineRule="auto" w:line="240" w:before="57" w:after="57"/>
        <w:ind w:left="0"/>
        <w:contextualSpacing/>
        <w:jc w:val="both"/>
        <w:rPr>
          <w:rFonts w:ascii="Verdana" w:hAnsi="Verdana"/>
        </w:rPr>
      </w:pPr>
      <w:r>
        <w:rPr>
          <w:rFonts w:cs="Verdana" w:ascii="Verdana" w:hAnsi="Verdana"/>
          <w:sz w:val="20"/>
          <w:szCs w:val="20"/>
        </w:rPr>
        <w:t xml:space="preserve">12.8.8. </w:t>
      </w:r>
      <w:r>
        <w:rPr>
          <w:rFonts w:cs="Verdana" w:ascii="Verdana" w:hAnsi="Verdana"/>
          <w:bCs/>
          <w:sz w:val="20"/>
          <w:szCs w:val="20"/>
        </w:rPr>
        <w:t>Os documentos acima deverão estar acompanhados de todas as alterações ou da consolidação respectiva;</w:t>
      </w:r>
    </w:p>
    <w:p>
      <w:pPr>
        <w:pStyle w:val="ListParagraph"/>
        <w:spacing w:lineRule="auto" w:line="240" w:before="57" w:after="57"/>
        <w:ind w:left="0"/>
        <w:contextualSpacing/>
        <w:jc w:val="both"/>
        <w:rPr>
          <w:rFonts w:ascii="Verdana" w:hAnsi="Verdana"/>
        </w:rPr>
      </w:pPr>
      <w:r>
        <w:rPr>
          <w:rFonts w:cs="Verdana" w:ascii="Verdana" w:hAnsi="Verdana"/>
          <w:b/>
          <w:sz w:val="20"/>
          <w:szCs w:val="20"/>
        </w:rPr>
        <w:t>12.09. Qualificação Econômico-Financeira</w:t>
      </w:r>
      <w:r>
        <w:rPr>
          <w:rFonts w:cs="Verdana" w:ascii="Verdana" w:hAnsi="Verdana"/>
          <w:sz w:val="20"/>
          <w:szCs w:val="20"/>
        </w:rPr>
        <w:t>.</w:t>
      </w:r>
    </w:p>
    <w:p>
      <w:pPr>
        <w:pStyle w:val="ListParagraph"/>
        <w:spacing w:lineRule="auto" w:line="240" w:before="57" w:after="57"/>
        <w:ind w:left="0"/>
        <w:contextualSpacing/>
        <w:jc w:val="both"/>
        <w:rPr>
          <w:rFonts w:ascii="Verdana" w:hAnsi="Verdana"/>
        </w:rPr>
      </w:pPr>
      <w:r>
        <w:rPr>
          <w:rFonts w:cs="Verdana" w:ascii="Verdana" w:hAnsi="Verdana"/>
          <w:sz w:val="20"/>
          <w:szCs w:val="20"/>
        </w:rPr>
        <w:t>12.</w:t>
      </w:r>
      <w:r>
        <w:rPr>
          <w:rFonts w:eastAsia="Times New Roman" w:cs="Verdana" w:ascii="Verdana" w:hAnsi="Verdana"/>
          <w:sz w:val="20"/>
          <w:szCs w:val="20"/>
        </w:rPr>
        <w:t>9</w:t>
      </w:r>
      <w:r>
        <w:rPr>
          <w:rFonts w:cs="Verdana" w:ascii="Verdana" w:hAnsi="Verdana"/>
          <w:sz w:val="20"/>
          <w:szCs w:val="20"/>
        </w:rPr>
        <w:t>.1. Certidão negativa de falência, recuperação judicial e extrajudicial, expedida pelo cartório distribuidor da sede da Licitante ou por meio digital, emitida em até 30 (trinta) dias anteriores à data de abertura do certame.</w:t>
      </w:r>
    </w:p>
    <w:p>
      <w:pPr>
        <w:pStyle w:val="Normal"/>
        <w:tabs>
          <w:tab w:val="clear" w:pos="708"/>
          <w:tab w:val="left" w:pos="850" w:leader="none"/>
        </w:tabs>
        <w:spacing w:lineRule="auto" w:line="240" w:before="57" w:after="57"/>
        <w:jc w:val="both"/>
        <w:rPr>
          <w:rFonts w:ascii="Verdana" w:hAnsi="Verdana"/>
        </w:rPr>
      </w:pPr>
      <w:r>
        <w:rPr>
          <w:rFonts w:cs="Verdana" w:ascii="Verdana" w:hAnsi="Verdana"/>
          <w:sz w:val="20"/>
        </w:rPr>
        <w:t>12.9.2.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jc w:val="both"/>
        <w:rPr>
          <w:rFonts w:ascii="Verdana" w:hAnsi="Verdana"/>
        </w:rPr>
      </w:pPr>
      <w:r>
        <w:rPr>
          <w:rFonts w:cs="Verdana" w:ascii="Verdana" w:hAnsi="Verdana"/>
          <w:sz w:val="20"/>
        </w:rPr>
        <w:t>12.9.3. Para a contagem do prazo estabelecido na letra “a” deste capítulo, será contado a partir do primeiro dia que antecede a data da realização do certame.</w:t>
      </w:r>
    </w:p>
    <w:p>
      <w:pPr>
        <w:pStyle w:val="Normal"/>
        <w:tabs>
          <w:tab w:val="clear" w:pos="708"/>
          <w:tab w:val="left" w:pos="850" w:leader="none"/>
        </w:tabs>
        <w:spacing w:lineRule="auto" w:line="240" w:before="0" w:after="0"/>
        <w:ind w:left="-79"/>
        <w:jc w:val="both"/>
        <w:rPr>
          <w:rFonts w:ascii="Verdana" w:hAnsi="Verdana"/>
        </w:rPr>
      </w:pPr>
      <w:r>
        <w:rPr>
          <w:rFonts w:cs="Verdana" w:ascii="Verdana" w:hAnsi="Verdana"/>
          <w:iCs/>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before="0" w:after="0"/>
        <w:jc w:val="both"/>
        <w:rPr>
          <w:rFonts w:ascii="Verdana" w:hAnsi="Verdana"/>
        </w:rPr>
      </w:pPr>
      <w:r>
        <w:rPr>
          <w:rFonts w:ascii="Verdana" w:hAnsi="Verdana"/>
          <w:b/>
          <w:bCs/>
          <w:sz w:val="20"/>
        </w:rPr>
        <w:t>13. CRITÉRIOS DE PAGAMENTO</w:t>
      </w:r>
    </w:p>
    <w:p>
      <w:pPr>
        <w:pStyle w:val="Normal"/>
        <w:spacing w:lineRule="auto" w:line="240"/>
        <w:jc w:val="both"/>
        <w:rPr>
          <w:rFonts w:ascii="Verdana" w:hAnsi="Verdana"/>
        </w:rPr>
      </w:pPr>
      <w:r>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pPr>
        <w:pStyle w:val="Normal"/>
        <w:spacing w:lineRule="auto" w:line="240"/>
        <w:ind w:left="-22"/>
        <w:jc w:val="both"/>
        <w:rPr/>
      </w:pPr>
      <w:r>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26"/>
          <w:sz w:val="20"/>
          <w:rFonts w:ascii="Verdana" w:hAnsi="Verdana"/>
        </w:rPr>
        <w:instrText xml:space="preserve"> HYPERLINK "http://www.planalto.gov.br/ccivil_03/_ato2019-2022/2021/lei/L14133.htm" \l "art75"</w:instrText>
      </w:r>
      <w:r>
        <w:rPr>
          <w:rStyle w:val="ListLabel26"/>
          <w:sz w:val="20"/>
          <w:rFonts w:ascii="Verdana" w:hAnsi="Verdana"/>
        </w:rPr>
        <w:fldChar w:fldCharType="separate"/>
      </w:r>
      <w:r>
        <w:rPr>
          <w:rStyle w:val="ListLabel26"/>
          <w:rFonts w:ascii="Verdana" w:hAnsi="Verdana"/>
          <w:sz w:val="20"/>
        </w:rPr>
        <w:t>inciso II do art. 75 da Lei nº 14.133, de 2021</w:t>
      </w:r>
      <w:r>
        <w:rPr>
          <w:rStyle w:val="ListLabel26"/>
          <w:sz w:val="20"/>
          <w:rFonts w:ascii="Verdana" w:hAnsi="Verdana"/>
        </w:rPr>
        <w:fldChar w:fldCharType="end"/>
      </w:r>
      <w:r>
        <w:rPr>
          <w:rFonts w:ascii="Verdana" w:hAnsi="Verdana"/>
          <w:sz w:val="20"/>
        </w:rPr>
        <w:t>.</w:t>
      </w:r>
    </w:p>
    <w:p>
      <w:pPr>
        <w:pStyle w:val="Normal"/>
        <w:spacing w:lineRule="auto" w:line="240"/>
        <w:ind w:left="-22"/>
        <w:jc w:val="both"/>
        <w:rPr>
          <w:rFonts w:ascii="Verdana" w:hAnsi="Verdana"/>
        </w:rPr>
      </w:pPr>
      <w:r>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jc w:val="both"/>
        <w:rPr>
          <w:rFonts w:ascii="Verdana" w:hAnsi="Verdana"/>
        </w:rPr>
      </w:pPr>
      <w:r>
        <w:rPr>
          <w:rFonts w:ascii="Verdana" w:hAnsi="Verdana"/>
          <w:sz w:val="20"/>
        </w:rPr>
        <w:t>- O prazo de validade;</w:t>
      </w:r>
    </w:p>
    <w:p>
      <w:pPr>
        <w:pStyle w:val="Normal"/>
        <w:tabs>
          <w:tab w:val="clear" w:pos="708"/>
          <w:tab w:val="left" w:pos="563" w:leader="none"/>
        </w:tabs>
        <w:spacing w:lineRule="auto" w:line="240"/>
        <w:ind w:left="432"/>
        <w:jc w:val="both"/>
        <w:rPr>
          <w:rFonts w:ascii="Verdana" w:hAnsi="Verdana"/>
        </w:rPr>
      </w:pPr>
      <w:r>
        <w:rPr>
          <w:rFonts w:ascii="Verdana" w:hAnsi="Verdana"/>
          <w:sz w:val="20"/>
        </w:rPr>
        <w:t xml:space="preserve">- A data da emissão; </w:t>
      </w:r>
    </w:p>
    <w:p>
      <w:pPr>
        <w:pStyle w:val="Normal"/>
        <w:tabs>
          <w:tab w:val="clear" w:pos="708"/>
          <w:tab w:val="left" w:pos="563" w:leader="none"/>
        </w:tabs>
        <w:spacing w:lineRule="auto" w:line="240"/>
        <w:ind w:left="432"/>
        <w:jc w:val="both"/>
        <w:rPr>
          <w:rFonts w:ascii="Verdana" w:hAnsi="Verdana"/>
        </w:rPr>
      </w:pPr>
      <w:r>
        <w:rPr>
          <w:rFonts w:ascii="Verdana" w:hAnsi="Verdana"/>
          <w:sz w:val="20"/>
        </w:rPr>
        <w:t xml:space="preserve">- Os dados do contrato e do órgão contratante; </w:t>
      </w:r>
    </w:p>
    <w:p>
      <w:pPr>
        <w:pStyle w:val="Normal"/>
        <w:tabs>
          <w:tab w:val="clear" w:pos="708"/>
          <w:tab w:val="left" w:pos="563" w:leader="none"/>
        </w:tabs>
        <w:spacing w:lineRule="auto" w:line="240"/>
        <w:ind w:left="432"/>
        <w:jc w:val="both"/>
        <w:rPr>
          <w:rFonts w:ascii="Verdana" w:hAnsi="Verdana"/>
        </w:rPr>
      </w:pPr>
      <w:r>
        <w:rPr>
          <w:rFonts w:ascii="Verdana" w:hAnsi="Verdana"/>
          <w:sz w:val="20"/>
        </w:rPr>
        <w:t xml:space="preserve">- O período respectivo de execução do contrato; </w:t>
      </w:r>
    </w:p>
    <w:p>
      <w:pPr>
        <w:pStyle w:val="Normal"/>
        <w:tabs>
          <w:tab w:val="clear" w:pos="708"/>
          <w:tab w:val="left" w:pos="563" w:leader="none"/>
        </w:tabs>
        <w:spacing w:lineRule="auto" w:line="240"/>
        <w:ind w:left="432"/>
        <w:jc w:val="both"/>
        <w:rPr>
          <w:rFonts w:ascii="Verdana" w:hAnsi="Verdana"/>
        </w:rPr>
      </w:pPr>
      <w:r>
        <w:rPr>
          <w:rFonts w:ascii="Verdana" w:hAnsi="Verdana"/>
          <w:sz w:val="20"/>
        </w:rPr>
        <w:t xml:space="preserve">- O valor a pagar; e </w:t>
      </w:r>
    </w:p>
    <w:p>
      <w:pPr>
        <w:pStyle w:val="Normal"/>
        <w:tabs>
          <w:tab w:val="clear" w:pos="708"/>
          <w:tab w:val="left" w:pos="563" w:leader="none"/>
        </w:tabs>
        <w:spacing w:lineRule="auto" w:line="240"/>
        <w:ind w:left="432"/>
        <w:jc w:val="both"/>
        <w:rPr>
          <w:rFonts w:ascii="Verdana" w:hAnsi="Verdana"/>
        </w:rPr>
      </w:pPr>
      <w:r>
        <w:rPr>
          <w:rFonts w:ascii="Verdana" w:hAnsi="Verdana"/>
          <w:sz w:val="20"/>
        </w:rPr>
        <w:t>- Eventual destaque do valor de retenções tributárias cabíveis.</w:t>
      </w:r>
    </w:p>
    <w:p>
      <w:pPr>
        <w:pStyle w:val="Normal"/>
        <w:tabs>
          <w:tab w:val="clear" w:pos="708"/>
          <w:tab w:val="left" w:pos="0" w:leader="none"/>
          <w:tab w:val="left" w:pos="563" w:leader="none"/>
        </w:tabs>
        <w:spacing w:lineRule="auto" w:line="240"/>
        <w:ind w:left="-22"/>
        <w:jc w:val="both"/>
        <w:rPr>
          <w:rFonts w:ascii="Verdana" w:hAnsi="Verdana"/>
        </w:rPr>
      </w:pPr>
      <w:r>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jc w:val="both"/>
        <w:rPr/>
      </w:pPr>
      <w:r>
        <w:rPr>
          <w:rFonts w:ascii="Verdana" w:hAnsi="Verdana"/>
          <w:sz w:val="20"/>
        </w:rPr>
        <w:t>13.5. A</w:t>
      </w:r>
      <w:r>
        <w:rPr>
          <w:rFonts w:ascii="Verdana" w:hAnsi="Verdana"/>
          <w:sz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lang w:eastAsia="en-US"/>
        </w:rPr>
        <w:t>.</w:t>
      </w:r>
    </w:p>
    <w:p>
      <w:pPr>
        <w:pStyle w:val="Normal"/>
        <w:spacing w:lineRule="auto" w:line="240"/>
        <w:ind w:left="-22"/>
        <w:jc w:val="both"/>
        <w:rPr>
          <w:rFonts w:ascii="Verdana" w:hAnsi="Verdana"/>
        </w:rPr>
      </w:pPr>
      <w:r>
        <w:rPr>
          <w:rFonts w:ascii="Verdana" w:hAnsi="Verdana"/>
          <w:sz w:val="20"/>
        </w:rPr>
        <w:t>13.6. O pagamento será efetuado no prazo de até 30 (trinta) dias úteis contados da finalização da liquidação da despesa.</w:t>
      </w:r>
    </w:p>
    <w:p>
      <w:pPr>
        <w:pStyle w:val="Normal"/>
        <w:spacing w:lineRule="auto" w:line="240"/>
        <w:ind w:left="-22"/>
        <w:jc w:val="both"/>
        <w:rPr>
          <w:rFonts w:ascii="Verdana" w:hAnsi="Verdana"/>
        </w:rPr>
      </w:pPr>
      <w:r>
        <w:rPr>
          <w:rFonts w:ascii="Verdana" w:hAnsi="Verdana"/>
          <w:sz w:val="20"/>
        </w:rPr>
        <w:t>13.7. O pagamento será realizado por meio de ordem bancária, para crédito em banco, agência e conta corrente indicados pelo contratado.</w:t>
      </w:r>
    </w:p>
    <w:p>
      <w:pPr>
        <w:pStyle w:val="Normal"/>
        <w:spacing w:lineRule="auto" w:line="240"/>
        <w:ind w:left="-22"/>
        <w:jc w:val="both"/>
        <w:rPr>
          <w:rFonts w:ascii="Verdana" w:hAnsi="Verdana"/>
        </w:rPr>
      </w:pPr>
      <w:r>
        <w:rPr>
          <w:rFonts w:ascii="Verdana" w:hAnsi="Verdana"/>
          <w:sz w:val="20"/>
        </w:rPr>
        <w:t>12.8. Será considerada data do pagamento o dia em que constar como emitida a ordem bancária para pagamento.</w:t>
      </w:r>
    </w:p>
    <w:p>
      <w:pPr>
        <w:pStyle w:val="Normal"/>
        <w:spacing w:lineRule="auto" w:line="240"/>
        <w:ind w:left="-79"/>
        <w:jc w:val="both"/>
        <w:rPr>
          <w:rFonts w:ascii="Verdana" w:hAnsi="Verdana"/>
        </w:rPr>
      </w:pPr>
      <w:r>
        <w:rPr>
          <w:rFonts w:ascii="Verdana" w:hAnsi="Verdana"/>
          <w:sz w:val="20"/>
        </w:rPr>
        <w:t>13.9. Quando do pagamento, será efetuada a retenção tributária prevista na legislação aplicável.</w:t>
      </w:r>
    </w:p>
    <w:p>
      <w:pPr>
        <w:pStyle w:val="Normal"/>
        <w:spacing w:lineRule="auto" w:line="240"/>
        <w:ind w:left="-79"/>
        <w:jc w:val="both"/>
        <w:rPr/>
      </w:pPr>
      <w:r>
        <w:rPr>
          <w:rFonts w:ascii="Verdana" w:hAnsi="Verdana"/>
          <w:sz w:val="20"/>
          <w:lang w:eastAsia="en-US"/>
        </w:rPr>
        <w:t xml:space="preserve">13.10. O contratado regularmente optante pelo Simples Nacional, nos termos da </w:t>
      </w:r>
      <w:hyperlink r:id="rId10">
        <w:r>
          <w:rPr>
            <w:rStyle w:val="ListLabel27"/>
            <w:rFonts w:ascii="Verdana" w:hAnsi="Verdana"/>
            <w:sz w:val="20"/>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jc w:val="both"/>
        <w:rPr>
          <w:rFonts w:ascii="Verdana" w:hAnsi="Verdana"/>
        </w:rPr>
      </w:pPr>
      <w:r>
        <w:rPr>
          <w:rFonts w:ascii="Verdana" w:hAnsi="Verdana"/>
          <w:sz w:val="20"/>
          <w:lang w:eastAsia="en-US"/>
        </w:rPr>
        <w:t>13.11.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lineRule="auto" w:line="240"/>
        <w:ind w:left="0"/>
        <w:jc w:val="both"/>
        <w:rPr>
          <w:rFonts w:ascii="Verdana" w:hAnsi="Verdana"/>
        </w:rPr>
      </w:pPr>
      <w:r>
        <w:rPr>
          <w:rFonts w:ascii="Verdana" w:hAnsi="Verdana"/>
          <w:sz w:val="20"/>
          <w:szCs w:val="20"/>
        </w:rPr>
        <w:t>13.11.  Após o prazo acima referenciado, será paga multa financeira nos seguintes termos:</w:t>
      </w:r>
    </w:p>
    <w:p>
      <w:pPr>
        <w:pStyle w:val="ListParagraph"/>
        <w:tabs>
          <w:tab w:val="clear" w:pos="708"/>
          <w:tab w:val="left" w:pos="518" w:leader="none"/>
        </w:tabs>
        <w:spacing w:lineRule="auto" w:line="240"/>
        <w:ind w:left="0"/>
        <w:jc w:val="both"/>
        <w:rPr>
          <w:rFonts w:ascii="Verdana" w:hAnsi="Verdana"/>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rFonts w:ascii="Verdana" w:hAnsi="Verdana"/>
        </w:rPr>
      </w:pPr>
      <w:r>
        <w:rPr>
          <w:rFonts w:cs="Arial" w:ascii="Verdana" w:hAnsi="Verdana"/>
          <w:sz w:val="20"/>
        </w:rPr>
        <w:t xml:space="preserve">Onde: </w:t>
      </w:r>
    </w:p>
    <w:p>
      <w:pPr>
        <w:pStyle w:val="Normal"/>
        <w:suppressAutoHyphens w:val="false"/>
        <w:spacing w:lineRule="auto" w:line="240"/>
        <w:rPr>
          <w:rFonts w:ascii="Verdana" w:hAnsi="Verdana"/>
        </w:rPr>
      </w:pPr>
      <w:r>
        <w:rPr>
          <w:rFonts w:cs="Arial" w:ascii="Verdana" w:hAnsi="Verdana"/>
          <w:sz w:val="20"/>
        </w:rPr>
        <w:t xml:space="preserve">VM = Valor da Multa Financeira; </w:t>
      </w:r>
    </w:p>
    <w:p>
      <w:pPr>
        <w:pStyle w:val="Normal"/>
        <w:suppressAutoHyphens w:val="false"/>
        <w:spacing w:lineRule="auto" w:line="240"/>
        <w:rPr>
          <w:rFonts w:ascii="Verdana" w:hAnsi="Verdana"/>
        </w:rPr>
      </w:pPr>
      <w:r>
        <w:rPr>
          <w:rFonts w:cs="Arial" w:ascii="Verdana" w:hAnsi="Verdana"/>
          <w:sz w:val="20"/>
        </w:rPr>
        <w:t xml:space="preserve">VF = Valor da Nota Fiscal; </w:t>
      </w:r>
    </w:p>
    <w:p>
      <w:pPr>
        <w:pStyle w:val="ListParagraph"/>
        <w:tabs>
          <w:tab w:val="clear" w:pos="708"/>
          <w:tab w:val="left" w:pos="518" w:leader="none"/>
        </w:tabs>
        <w:spacing w:lineRule="auto" w:line="240"/>
        <w:ind w:left="0"/>
        <w:rPr>
          <w:rFonts w:ascii="Verdana" w:hAnsi="Verdana"/>
        </w:rPr>
      </w:pPr>
      <w:r>
        <w:rPr>
          <w:rFonts w:eastAsia="Times New Roman" w:cs="Arial" w:ascii="Verdana" w:hAnsi="Verdana"/>
          <w:sz w:val="20"/>
          <w:szCs w:val="20"/>
        </w:rPr>
        <w:t>ND = Número de dias em atraso.</w:t>
      </w:r>
    </w:p>
    <w:p>
      <w:pPr>
        <w:pStyle w:val="ListParagraph"/>
        <w:tabs>
          <w:tab w:val="clear" w:pos="708"/>
          <w:tab w:val="left" w:pos="518" w:leader="none"/>
        </w:tabs>
        <w:spacing w:lineRule="auto" w:line="240" w:before="0" w:after="29"/>
        <w:ind w:left="0"/>
        <w:contextualSpacing/>
        <w:jc w:val="both"/>
        <w:rPr/>
      </w:pPr>
      <w:r>
        <w:rPr>
          <w:rFonts w:eastAsia="Times New Roman" w:cs="Arial" w:ascii="Verdana" w:hAnsi="Verdana"/>
          <w:sz w:val="20"/>
          <w:szCs w:val="20"/>
        </w:rPr>
        <w:t xml:space="preserve">13.12.. </w:t>
      </w:r>
      <w:r>
        <w:rPr>
          <w:rFonts w:cs="Arial" w:ascii="Verdana" w:hAnsi="Verdana"/>
          <w:sz w:val="20"/>
          <w:szCs w:val="20"/>
        </w:rPr>
        <w:t>A NOTA FISCAL ELETRÔNICA deverá conter o mesmo CNPJ e razão social apresentados quando na proposta, assim como, o número da contratação, o (s) objeto (s), os valores unitários e totais.</w:t>
      </w:r>
    </w:p>
    <w:p>
      <w:pPr>
        <w:pStyle w:val="Normal"/>
        <w:spacing w:lineRule="auto" w:line="240"/>
        <w:jc w:val="both"/>
        <w:rPr/>
      </w:pPr>
      <w:r>
        <w:rPr>
          <w:rFonts w:cs="Arial" w:ascii="Verdana" w:hAnsi="Verdana"/>
          <w:sz w:val="20"/>
        </w:rPr>
        <w:t xml:space="preserve">13.13. Qualquer alteração feita no contrato social, ato constitutivo ou estatuto deverá ser ois comunicado ao CONTRATANTE, mediante documentação própria, para apreciação da autoridade competente. </w:t>
      </w:r>
    </w:p>
    <w:p>
      <w:pPr>
        <w:pStyle w:val="Normal"/>
        <w:suppressAutoHyphens w:val="false"/>
        <w:spacing w:lineRule="auto" w:line="240"/>
        <w:jc w:val="both"/>
        <w:rPr/>
      </w:pPr>
      <w:r>
        <w:rPr>
          <w:rFonts w:cs="Arial" w:ascii="Verdana" w:hAnsi="Verdana"/>
          <w:sz w:val="20"/>
        </w:rPr>
        <w:t>13.14. O CONTRATANTE poderá deduzir do pagamento importâncias que a qualquer título lhe forem devidos pela empresa CONTRATADA, em decorrência de descumprimento de suas obrigações.</w:t>
      </w:r>
    </w:p>
    <w:p>
      <w:pPr>
        <w:pStyle w:val="Default"/>
        <w:tabs>
          <w:tab w:val="clear" w:pos="708"/>
          <w:tab w:val="left" w:pos="563" w:leader="none"/>
        </w:tabs>
        <w:spacing w:lineRule="auto" w:line="240"/>
        <w:ind w:left="-22"/>
        <w:jc w:val="both"/>
        <w:rPr/>
      </w:pPr>
      <w:r>
        <w:rPr>
          <w:rFonts w:cs="Arial" w:ascii="Verdana" w:hAnsi="Verdana"/>
          <w:color w:val="auto"/>
          <w:sz w:val="20"/>
          <w:szCs w:val="20"/>
        </w:rPr>
        <w:t xml:space="preserve">13.15. </w:t>
      </w:r>
      <w:r>
        <w:rPr>
          <w:rFonts w:cs="Arial" w:ascii="Verdana" w:hAnsi="Verdana"/>
          <w:color w:val="auto"/>
          <w:sz w:val="20"/>
          <w:szCs w:val="20"/>
          <w:lang w:eastAsia="en-US"/>
        </w:rPr>
        <w:t xml:space="preserve">Para a efetivação do pagamento, a CONTRATADA deverá manter as mesmas </w:t>
      </w:r>
      <w:r>
        <w:rPr>
          <w:rFonts w:cs="Arial" w:ascii="Verdana" w:hAnsi="Verdana"/>
          <w:color w:val="auto"/>
          <w:sz w:val="20"/>
          <w:szCs w:val="20"/>
          <w:lang w:eastAsia="pt-BR"/>
        </w:rPr>
        <w:t>condições relativas à proposta de preço e a habilitação.</w:t>
      </w:r>
    </w:p>
    <w:p>
      <w:pPr>
        <w:pStyle w:val="Normal"/>
        <w:spacing w:lineRule="auto" w:line="240"/>
        <w:ind w:right="-425"/>
        <w:jc w:val="both"/>
        <w:rPr>
          <w:rFonts w:ascii="Verdana" w:hAnsi="Verdana"/>
          <w:sz w:val="20"/>
        </w:rPr>
      </w:pPr>
      <w:r>
        <w:rPr>
          <w:rFonts w:ascii="Verdana" w:hAnsi="Verdana"/>
          <w:sz w:val="20"/>
        </w:rPr>
      </w:r>
    </w:p>
    <w:p>
      <w:pPr>
        <w:pStyle w:val="Normal"/>
        <w:suppressAutoHyphens w:val="false"/>
        <w:spacing w:lineRule="auto" w:line="240"/>
        <w:jc w:val="both"/>
        <w:rPr>
          <w:rFonts w:ascii="Verdana" w:hAnsi="Verdana"/>
        </w:rPr>
      </w:pPr>
      <w:r>
        <w:rPr>
          <w:rFonts w:cs="Arial" w:ascii="Verdana" w:hAnsi="Verdana"/>
          <w:b/>
          <w:sz w:val="20"/>
        </w:rPr>
        <w:t>14. CONTRATAÇÕES CORRELATAS E/OU INTERDEPENDENTES</w:t>
      </w:r>
    </w:p>
    <w:p>
      <w:pPr>
        <w:pStyle w:val="Normal"/>
        <w:suppressAutoHyphens w:val="false"/>
        <w:spacing w:lineRule="auto" w:line="240"/>
        <w:jc w:val="both"/>
        <w:rPr>
          <w:rFonts w:ascii="Verdana" w:hAnsi="Verdana"/>
        </w:rPr>
      </w:pPr>
      <w:r>
        <w:rPr>
          <w:rFonts w:cs="Arial" w:ascii="Verdana" w:hAnsi="Verdana"/>
          <w:sz w:val="20"/>
        </w:rPr>
        <w:t xml:space="preserve">14.1. </w:t>
      </w:r>
      <w:r>
        <w:rPr>
          <w:rFonts w:cs="Arial" w:ascii="Verdana" w:hAnsi="Verdana"/>
          <w:sz w:val="20"/>
          <w:lang w:eastAsia="zh-CN"/>
        </w:rPr>
        <w:t xml:space="preserve">Não se </w:t>
      </w:r>
      <w:r>
        <w:rPr>
          <w:rFonts w:cs="Arial" w:ascii="Verdana" w:hAnsi="Verdana"/>
          <w:sz w:val="20"/>
        </w:rPr>
        <w:t xml:space="preserve">verifica contratações correlatas ou interdependentes </w:t>
      </w:r>
      <w:r>
        <w:rPr>
          <w:rFonts w:cs="Arial" w:ascii="Verdana" w:hAnsi="Verdana"/>
          <w:sz w:val="20"/>
          <w:lang w:eastAsia="zh-CN"/>
        </w:rPr>
        <w:t>no período</w:t>
      </w:r>
      <w:r>
        <w:rPr>
          <w:rFonts w:cs="Arial" w:ascii="Verdana" w:hAnsi="Verdana"/>
          <w:sz w:val="20"/>
        </w:rPr>
        <w:t>.</w:t>
      </w:r>
    </w:p>
    <w:p>
      <w:pPr>
        <w:pStyle w:val="Normal"/>
        <w:suppressAutoHyphens w:val="false"/>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rPr>
      </w:pPr>
      <w:r>
        <w:rPr>
          <w:rFonts w:cs="Arial" w:ascii="Verdana" w:hAnsi="Verdana"/>
          <w:b/>
          <w:sz w:val="20"/>
        </w:rPr>
        <w:t>15. DECLARAÇÃO E JUSTIFICATIVA DA VIABILIDADE</w:t>
      </w:r>
    </w:p>
    <w:p>
      <w:pPr>
        <w:pStyle w:val="Normal"/>
        <w:spacing w:lineRule="auto" w:line="240"/>
        <w:jc w:val="both"/>
        <w:rPr>
          <w:rFonts w:ascii="Verdana" w:hAnsi="Verdana"/>
        </w:rPr>
      </w:pPr>
      <w:r>
        <w:rPr>
          <w:rFonts w:cs="Arial" w:ascii="Verdana" w:hAnsi="Verdana"/>
          <w:sz w:val="20"/>
        </w:rPr>
        <w:t>15.1.</w:t>
      </w:r>
      <w:r>
        <w:rPr>
          <w:rFonts w:cs="Arial" w:ascii="Verdana" w:hAnsi="Verdana"/>
          <w:b/>
          <w:bCs/>
          <w:sz w:val="20"/>
        </w:rPr>
        <w:t xml:space="preserve"> </w:t>
      </w:r>
      <w:r>
        <w:rPr>
          <w:rFonts w:cs="Arial" w:ascii="Verdana" w:hAnsi="Verdana"/>
          <w:sz w:val="20"/>
        </w:rPr>
        <w:t>Neste sentido, a equipe de planejamento deste ETP e de acordo com a autoridade deste requerente, declara viável esta contratação, com base nos elementos apresentados neste documento.</w:t>
      </w:r>
    </w:p>
    <w:p>
      <w:pPr>
        <w:pStyle w:val="Normal"/>
        <w:spacing w:lineRule="auto" w:line="240"/>
        <w:jc w:val="both"/>
        <w:rPr>
          <w:rFonts w:ascii="Verdana" w:hAnsi="Verdana"/>
        </w:rPr>
      </w:pPr>
      <w:r>
        <w:rPr>
          <w:rFonts w:cs="Arial" w:ascii="Verdana" w:hAnsi="Verdana"/>
          <w:sz w:val="20"/>
        </w:rPr>
        <w:t>15.2. Considerando a necessidade de aquisição constante de epi’s, para as Secretarias municipais, visando garantir um ambiente seguro para os funcionários e cidadães, decidiu-se pela aquisição do serviço.</w:t>
      </w:r>
    </w:p>
    <w:p>
      <w:pPr>
        <w:pStyle w:val="Normal"/>
        <w:spacing w:lineRule="auto" w:line="240"/>
        <w:jc w:val="both"/>
        <w:rPr>
          <w:rFonts w:ascii="Verdana" w:hAnsi="Verdana" w:cs="Arial"/>
          <w:sz w:val="20"/>
        </w:rPr>
      </w:pPr>
      <w:r>
        <w:rPr>
          <w:rFonts w:cs="Arial" w:ascii="Verdana" w:hAnsi="Verdana"/>
          <w:sz w:val="20"/>
        </w:rPr>
      </w:r>
    </w:p>
    <w:p>
      <w:pPr>
        <w:pStyle w:val="Normal"/>
        <w:suppressAutoHyphens w:val="false"/>
        <w:spacing w:lineRule="auto" w:line="240"/>
        <w:jc w:val="both"/>
        <w:rPr>
          <w:rFonts w:ascii="Verdana" w:hAnsi="Verdana"/>
        </w:rPr>
      </w:pPr>
      <w:r>
        <w:rPr>
          <w:rFonts w:cs="Arial" w:ascii="Verdana" w:hAnsi="Verdana"/>
          <w:b/>
          <w:sz w:val="20"/>
        </w:rPr>
        <w:t>16. POSSÍVEIS IMPACTOS AMBIENTAIS</w:t>
      </w:r>
    </w:p>
    <w:p>
      <w:pPr>
        <w:pStyle w:val="Normal"/>
        <w:spacing w:lineRule="auto" w:line="240"/>
        <w:jc w:val="both"/>
        <w:rPr>
          <w:rFonts w:ascii="Verdana" w:hAnsi="Verdana"/>
        </w:rPr>
      </w:pPr>
      <w:r>
        <w:rPr>
          <w:rFonts w:cs="Arial" w:ascii="Verdana" w:hAnsi="Verdana"/>
          <w:sz w:val="20"/>
        </w:rPr>
        <w:t>16.1.Não se verifica impactos ambientais da contratação.</w:t>
      </w:r>
    </w:p>
    <w:p>
      <w:pPr>
        <w:pStyle w:val="Normal"/>
        <w:spacing w:lineRule="auto" w:line="240"/>
        <w:jc w:val="both"/>
        <w:rPr>
          <w:rFonts w:ascii="Verdana" w:hAnsi="Verdana" w:cs="Arial"/>
          <w:b/>
          <w:sz w:val="20"/>
        </w:rPr>
      </w:pPr>
      <w:r>
        <w:rPr>
          <w:rFonts w:cs="Arial" w:ascii="Verdana" w:hAnsi="Verdana"/>
          <w:b/>
          <w:sz w:val="20"/>
        </w:rPr>
      </w:r>
    </w:p>
    <w:p>
      <w:pPr>
        <w:pStyle w:val="Normal"/>
        <w:spacing w:lineRule="auto" w:line="240"/>
        <w:jc w:val="both"/>
        <w:rPr>
          <w:rFonts w:ascii="Verdana" w:hAnsi="Verdana"/>
        </w:rPr>
      </w:pPr>
      <w:r>
        <w:rPr>
          <w:rFonts w:cs="Arial" w:ascii="Verdana" w:hAnsi="Verdana"/>
          <w:b/>
          <w:sz w:val="20"/>
        </w:rPr>
        <w:t>17. PROVIDÊNCIAS A SEREM ADOTADAS</w:t>
      </w:r>
    </w:p>
    <w:p>
      <w:pPr>
        <w:pStyle w:val="Normal"/>
        <w:spacing w:lineRule="auto" w:line="240"/>
        <w:jc w:val="both"/>
        <w:rPr>
          <w:rFonts w:ascii="Verdana" w:hAnsi="Verdana"/>
        </w:rPr>
      </w:pPr>
      <w:r>
        <w:rPr>
          <w:rFonts w:ascii="Verdana" w:hAnsi="Verdana"/>
          <w:sz w:val="20"/>
        </w:rPr>
        <w:t xml:space="preserve">17.1. A Administração Pública contará com a Secretaria Municipal de Administração e Secretarias requisitantes </w:t>
      </w:r>
      <w:r>
        <w:rPr>
          <w:rFonts w:ascii="Verdana" w:hAnsi="Verdana"/>
          <w:sz w:val="20"/>
          <w:lang w:eastAsia="zh-CN"/>
        </w:rPr>
        <w:t xml:space="preserve">responsável por acompanhar o recebimento dos materiais, verificando quantidade e qualidade, conforme </w:t>
      </w:r>
      <w:r>
        <w:rPr>
          <w:rFonts w:ascii="Verdana" w:hAnsi="Verdana"/>
          <w:sz w:val="20"/>
        </w:rPr>
        <w:t>especificações contidas no processo licitatório.</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ascii="Verdana" w:hAnsi="Verdana"/>
          <w:b/>
          <w:bCs/>
          <w:sz w:val="20"/>
        </w:rPr>
        <w:t xml:space="preserve">18. ADEQUAÇÃO ORÇAMENTÁRIA </w:t>
      </w:r>
    </w:p>
    <w:p>
      <w:pPr>
        <w:pStyle w:val="Normal"/>
        <w:spacing w:lineRule="auto" w:line="240"/>
        <w:jc w:val="both"/>
        <w:rPr>
          <w:rFonts w:ascii="Verdana" w:hAnsi="Verdana"/>
        </w:rPr>
      </w:pPr>
      <w:r>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sz w:val="20"/>
        </w:rPr>
      </w:pPr>
      <w:r>
        <w:rPr>
          <w:rFonts w:ascii="Verdana" w:hAnsi="Verdana"/>
          <w:sz w:val="20"/>
        </w:rPr>
      </w:r>
    </w:p>
    <w:p>
      <w:pPr>
        <w:pStyle w:val="Normal"/>
        <w:numPr>
          <w:ilvl w:val="0"/>
          <w:numId w:val="1"/>
        </w:numPr>
        <w:spacing w:lineRule="auto" w:line="240"/>
        <w:jc w:val="both"/>
        <w:rPr>
          <w:rFonts w:ascii="Verdana" w:hAnsi="Verdana"/>
        </w:rPr>
      </w:pPr>
      <w:r>
        <w:rPr>
          <w:rFonts w:ascii="Verdana" w:hAnsi="Verdana"/>
          <w:sz w:val="20"/>
        </w:rPr>
        <w:t>FICHA-FONTE: 00097-150000000</w:t>
      </w:r>
    </w:p>
    <w:p>
      <w:pPr>
        <w:pStyle w:val="Normal"/>
        <w:spacing w:lineRule="auto" w:line="240"/>
        <w:ind w:left="720"/>
        <w:jc w:val="both"/>
        <w:rPr>
          <w:rFonts w:ascii="Verdana" w:hAnsi="Verdana"/>
          <w:sz w:val="20"/>
        </w:rPr>
      </w:pPr>
      <w:r>
        <w:rPr>
          <w:rFonts w:ascii="Verdana" w:hAnsi="Verdana"/>
          <w:sz w:val="20"/>
        </w:rPr>
      </w:r>
    </w:p>
    <w:p>
      <w:pPr>
        <w:pStyle w:val="Normal"/>
        <w:spacing w:lineRule="auto" w:line="240"/>
        <w:jc w:val="both"/>
        <w:rPr>
          <w:rFonts w:ascii="Verdana" w:hAnsi="Verdana"/>
        </w:rPr>
      </w:pPr>
      <w:r>
        <w:rPr>
          <w:rFonts w:ascii="Verdana" w:hAnsi="Verdana"/>
          <w:sz w:val="20"/>
        </w:rPr>
        <w:t>Totalizando a aquisição pretendida o valor estimativo de R$ 171.092,06 (cento e setenta e um mil noventa e dois reais e seis centavos).</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rPr>
      </w:pPr>
      <w:r>
        <w:rPr>
          <w:rFonts w:ascii="Verdana" w:hAnsi="Verdana"/>
          <w:b/>
          <w:bCs/>
          <w:sz w:val="20"/>
        </w:rPr>
        <w:t>19.</w:t>
      </w:r>
      <w:r>
        <w:rPr>
          <w:rFonts w:ascii="Verdana" w:hAnsi="Verdana"/>
          <w:sz w:val="20"/>
        </w:rPr>
        <w:t xml:space="preserve"> </w:t>
      </w:r>
      <w:r>
        <w:rPr>
          <w:rFonts w:cs="Arial" w:ascii="Verdana" w:hAnsi="Verdana"/>
          <w:b/>
          <w:bCs/>
          <w:sz w:val="20"/>
        </w:rPr>
        <w:t>DOS RESPONSÁVEIS PELA ELABORAÇÃO DO TERMO DE REFERÊNCIA</w:t>
      </w:r>
    </w:p>
    <w:p>
      <w:pPr>
        <w:pStyle w:val="Normal"/>
        <w:spacing w:lineRule="auto" w:line="240"/>
        <w:jc w:val="both"/>
        <w:rPr>
          <w:rFonts w:ascii="Verdana" w:hAnsi="Verdana"/>
        </w:rPr>
      </w:pPr>
      <w:r>
        <w:rPr>
          <w:rFonts w:cs="Arial" w:ascii="Verdana" w:hAnsi="Verdana"/>
          <w:sz w:val="20"/>
        </w:rPr>
        <w:t>19.1. A compilação de parte das informações mencionados na elaboração deste Termo de Referência foram estruturadas através do ETP – Estudo Técnico Preliminar e DFD – Documento Formalizador de Demanda, elaborados pela secretaria requisitante.</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right"/>
        <w:rPr>
          <w:rFonts w:ascii="Verdana" w:hAnsi="Verdana"/>
        </w:rPr>
      </w:pPr>
      <w:r>
        <w:rPr>
          <w:rFonts w:ascii="Verdana" w:hAnsi="Verdana"/>
          <w:sz w:val="20"/>
        </w:rPr>
        <w:t>São Gabriel da Palha, 25 de maio de 2026</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cs="Arial"/>
          <w:b/>
          <w:bCs/>
          <w:sz w:val="20"/>
        </w:rPr>
      </w:pPr>
      <w:r>
        <w:rPr>
          <w:rFonts w:cs="Arial" w:ascii="Verdana" w:hAnsi="Verdana"/>
          <w:b/>
          <w:bCs/>
          <w:sz w:val="20"/>
        </w:rPr>
      </w:r>
    </w:p>
    <w:p>
      <w:pPr>
        <w:pStyle w:val="Normal"/>
        <w:spacing w:lineRule="auto" w:line="240"/>
        <w:jc w:val="both"/>
        <w:rPr>
          <w:rFonts w:ascii="Verdana" w:hAnsi="Verdana"/>
        </w:rPr>
      </w:pPr>
      <w:r>
        <w:rPr>
          <w:rFonts w:cs="Arial" w:ascii="Verdana" w:hAnsi="Verdana"/>
          <w:b/>
          <w:bCs/>
          <w:sz w:val="20"/>
        </w:rPr>
        <w:t>Elaborado por:</w:t>
      </w:r>
    </w:p>
    <w:p>
      <w:pPr>
        <w:pStyle w:val="Normal"/>
        <w:spacing w:lineRule="auto" w:line="240"/>
        <w:jc w:val="both"/>
        <w:rPr>
          <w:rFonts w:ascii="Verdana" w:hAnsi="Verdana" w:cs="Arial"/>
          <w:b/>
          <w:bCs/>
          <w:sz w:val="20"/>
        </w:rPr>
      </w:pPr>
      <w:r>
        <w:rPr>
          <w:rFonts w:cs="Arial" w:ascii="Verdana" w:hAnsi="Verdana"/>
          <w:b/>
          <w:bCs/>
          <w:sz w:val="20"/>
        </w:rPr>
      </w:r>
    </w:p>
    <w:p>
      <w:pPr>
        <w:pStyle w:val="Normal"/>
        <w:spacing w:lineRule="auto" w:line="240"/>
        <w:jc w:val="both"/>
        <w:rPr>
          <w:rFonts w:ascii="Verdana" w:hAnsi="Verdana" w:cs="Arial"/>
          <w:b/>
          <w:bCs/>
          <w:sz w:val="20"/>
        </w:rPr>
      </w:pPr>
      <w:r>
        <w:rPr>
          <w:rFonts w:cs="Arial" w:ascii="Verdana" w:hAnsi="Verdana"/>
          <w:b/>
          <w:bCs/>
          <w:sz w:val="20"/>
        </w:rPr>
      </w:r>
    </w:p>
    <w:p>
      <w:pPr>
        <w:pStyle w:val="Normal"/>
        <w:spacing w:lineRule="auto" w:line="240"/>
        <w:jc w:val="both"/>
        <w:rPr>
          <w:rFonts w:ascii="Verdana" w:hAnsi="Verdana" w:cs="Arial"/>
          <w:b/>
          <w:bCs/>
          <w:sz w:val="20"/>
        </w:rPr>
      </w:pPr>
      <w:r>
        <w:rPr>
          <w:rFonts w:cs="Arial" w:ascii="Verdana" w:hAnsi="Verdana"/>
          <w:b/>
          <w:bCs/>
          <w:sz w:val="20"/>
        </w:rPr>
      </w:r>
    </w:p>
    <w:p>
      <w:pPr>
        <w:pStyle w:val="Normal"/>
        <w:spacing w:lineRule="auto" w:line="240"/>
        <w:rPr>
          <w:rFonts w:ascii="Verdana" w:hAnsi="Verdana"/>
        </w:rPr>
      </w:pPr>
      <w:r>
        <w:rPr>
          <w:rFonts w:ascii="Verdana" w:hAnsi="Verdana"/>
          <w:sz w:val="20"/>
        </w:rPr>
        <w:t>RODOLFO ANTÔNIO DA SILVA NETO</w:t>
      </w:r>
    </w:p>
    <w:p>
      <w:pPr>
        <w:pStyle w:val="Normal"/>
        <w:spacing w:lineRule="auto" w:line="240"/>
        <w:rPr>
          <w:rFonts w:ascii="Verdana" w:hAnsi="Verdana"/>
        </w:rPr>
      </w:pPr>
      <w:r>
        <w:rPr>
          <w:rFonts w:ascii="Verdana" w:hAnsi="Verdana"/>
          <w:sz w:val="20"/>
        </w:rPr>
        <w:t>Agente de Serviços Técnicos – Portaria n° 9.965/2025</w:t>
      </w:r>
    </w:p>
    <w:p>
      <w:pPr>
        <w:pStyle w:val="Normal"/>
        <w:spacing w:lineRule="auto" w:line="240"/>
        <w:jc w:val="both"/>
        <w:rPr>
          <w:rFonts w:ascii="Verdana" w:hAnsi="Verdana"/>
        </w:rPr>
      </w:pPr>
      <w:r>
        <w:rPr>
          <w:rFonts w:cs="Arial" w:ascii="Verdana" w:hAnsi="Verdana"/>
          <w:sz w:val="20"/>
        </w:rPr>
        <w:t>Mat. nº 000406</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rPr>
      </w:pPr>
      <w:r>
        <w:rPr>
          <w:rFonts w:cs="Arial" w:ascii="Verdana" w:hAnsi="Verdana"/>
          <w:sz w:val="20"/>
        </w:rPr>
        <w:t>RUTH BARBARA DA SILWA NASCIMENTO</w:t>
      </w:r>
    </w:p>
    <w:p>
      <w:pPr>
        <w:pStyle w:val="Normal"/>
        <w:spacing w:lineRule="auto" w:line="240"/>
        <w:jc w:val="both"/>
        <w:rPr>
          <w:rFonts w:ascii="Verdana" w:hAnsi="Verdana"/>
        </w:rPr>
      </w:pPr>
      <w:r>
        <w:rPr>
          <w:rFonts w:cs="Arial" w:ascii="Verdana" w:hAnsi="Verdana"/>
          <w:sz w:val="20"/>
        </w:rPr>
        <w:t>Agente de Serviços Técnicos - Decreto n° 4.816/2025.</w:t>
      </w:r>
    </w:p>
    <w:p>
      <w:pPr>
        <w:pStyle w:val="Normal"/>
        <w:spacing w:lineRule="auto" w:line="240"/>
        <w:jc w:val="both"/>
        <w:rPr/>
      </w:pPr>
      <w:hyperlink r:id="rId11">
        <w:r>
          <w:rPr>
            <w:rStyle w:val="ListLabel26"/>
            <w:rFonts w:ascii="Verdana" w:hAnsi="Verdana"/>
            <w:sz w:val="20"/>
          </w:rPr>
          <w:t>Mat. nº 002983</w:t>
        </w:r>
      </w:hyperlink>
      <w:bookmarkEnd w:id="0"/>
      <w:bookmarkEnd w:id="3"/>
      <w:bookmarkEnd w:id="4"/>
      <w:bookmarkEnd w:id="5"/>
      <w:bookmarkEnd w:id="8"/>
    </w:p>
    <w:p>
      <w:pPr>
        <w:pStyle w:val="Normal"/>
        <w:spacing w:lineRule="auto" w:line="240"/>
        <w:jc w:val="right"/>
        <w:rPr>
          <w:rFonts w:ascii="Verdana" w:hAnsi="Verdana"/>
          <w:sz w:val="20"/>
        </w:rPr>
      </w:pPr>
      <w:r>
        <w:rPr>
          <w:rFonts w:ascii="Verdana" w:hAnsi="Verdana"/>
          <w:sz w:val="20"/>
        </w:rPr>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7">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7">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u w:val="none"/>
        <w:b w:val="false"/>
        <w:bCs w:val="false"/>
        <w:color w:val="000000"/>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sz w:val="24"/>
        <w:u w:val="none"/>
        <w:b w:val="false"/>
        <w:szCs w:val="24"/>
        <w:bCs w:val="false"/>
        <w:color w:val="000000"/>
        <w:lang w:eastAsia="ar-SA"/>
      </w:rPr>
    </w:lvl>
    <w:lvl w:ilvl="4">
      <w:start w:val="1"/>
      <w:numFmt w:val="bullet"/>
      <w:lvlText w:val=""/>
      <w:lvlJc w:val="left"/>
      <w:pPr>
        <w:tabs>
          <w:tab w:val="num" w:pos="2160"/>
        </w:tabs>
        <w:ind w:left="2160" w:hanging="360"/>
      </w:pPr>
      <w:rPr>
        <w:rFonts w:ascii="Wingdings" w:hAnsi="Wingdings" w:cs="Wingdings" w:hint="default"/>
        <w:u w:val="none"/>
        <w:b w:val="false"/>
        <w:bCs w:val="false"/>
        <w:color w:val="000000"/>
      </w:rPr>
    </w:lvl>
    <w:lvl w:ilvl="5">
      <w:start w:val="1"/>
      <w:numFmt w:val="bullet"/>
      <w:lvlText w:val=""/>
      <w:lvlJc w:val="left"/>
      <w:pPr>
        <w:tabs>
          <w:tab w:val="num" w:pos="2520"/>
        </w:tabs>
        <w:ind w:left="2520" w:hanging="360"/>
      </w:pPr>
      <w:rPr>
        <w:rFonts w:ascii="Wingdings" w:hAnsi="Wingdings" w:cs="Wingdings" w:hint="default"/>
        <w:u w:val="none"/>
        <w:b w:val="false"/>
        <w:bCs w:val="false"/>
        <w:color w:val="000000"/>
        <w:lang w:eastAsia="ar-SA"/>
      </w:rPr>
    </w:lvl>
    <w:lvl w:ilvl="6">
      <w:start w:val="1"/>
      <w:numFmt w:val="bullet"/>
      <w:lvlText w:val=""/>
      <w:lvlJc w:val="left"/>
      <w:pPr>
        <w:tabs>
          <w:tab w:val="num" w:pos="2880"/>
        </w:tabs>
        <w:ind w:left="2880" w:hanging="360"/>
      </w:pPr>
      <w:rPr>
        <w:rFonts w:ascii="Wingdings" w:hAnsi="Wingdings" w:cs="Wingdings" w:hint="default"/>
        <w:sz w:val="24"/>
        <w:u w:val="single"/>
        <w:b w:val="false"/>
        <w:szCs w:val="24"/>
        <w:bCs w:val="false"/>
        <w:color w:val="000000"/>
      </w:rPr>
    </w:lvl>
    <w:lvl w:ilvl="7">
      <w:start w:val="1"/>
      <w:numFmt w:val="bullet"/>
      <w:lvlText w:val=""/>
      <w:lvlJc w:val="left"/>
      <w:pPr>
        <w:tabs>
          <w:tab w:val="num" w:pos="3240"/>
        </w:tabs>
        <w:ind w:left="3240" w:hanging="360"/>
      </w:pPr>
      <w:rPr>
        <w:rFonts w:ascii="Wingdings" w:hAnsi="Wingdings" w:cs="Wingdings" w:hint="default"/>
        <w:u w:val="none"/>
        <w:b w:val="false"/>
        <w:bCs w:val="false"/>
        <w:color w:val="000000"/>
      </w:rPr>
    </w:lvl>
    <w:lvl w:ilvl="8">
      <w:start w:val="1"/>
      <w:numFmt w:val="bullet"/>
      <w:lvlText w:val=""/>
      <w:lvlJc w:val="left"/>
      <w:pPr>
        <w:tabs>
          <w:tab w:val="num" w:pos="3600"/>
        </w:tabs>
        <w:ind w:left="3600" w:hanging="360"/>
      </w:pPr>
      <w:rPr>
        <w:rFonts w:ascii="Wingdings" w:hAnsi="Wingdings" w:cs="Wingdings" w:hint="default"/>
        <w:u w:val="none"/>
        <w:b w:val="false"/>
        <w:bCs w:val="false"/>
        <w:lang w:eastAsia="en-US"/>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pPr>
      <w:keepNext w:val="true"/>
      <w:keepLines/>
      <w:spacing w:before="480" w:after="0"/>
      <w:outlineLvl w:val="0"/>
    </w:pPr>
    <w:rPr>
      <w:rFonts w:ascii="Cambria" w:hAnsi="Cambria" w:eastAsia="Calibri" w:cs="Tahoma"/>
      <w:b/>
      <w:bCs/>
      <w:color w:themeColor="accent1" w:themeShade="bf" w:val="117A02"/>
      <w:sz w:val="28"/>
      <w:szCs w:val="28"/>
    </w:rPr>
  </w:style>
  <w:style w:type="paragraph" w:styleId="Heading2">
    <w:name w:val="Heading 2"/>
    <w:basedOn w:val="LO-normal"/>
    <w:next w:val="LO-normal"/>
    <w:uiPriority w:val="9"/>
    <w:semiHidden/>
    <w:unhideWhenUsed/>
    <w:qFormat/>
    <w:pPr>
      <w:keepNext w:val="true"/>
      <w:keepLines/>
      <w:outlineLvl w:val="1"/>
    </w:pPr>
    <w:rPr>
      <w:b/>
    </w:rPr>
  </w:style>
  <w:style w:type="paragraph" w:styleId="Heading3">
    <w:name w:val="Heading 3"/>
    <w:basedOn w:val="LO-normal"/>
    <w:next w:val="LO-normal"/>
    <w:uiPriority w:val="9"/>
    <w:semiHidden/>
    <w:unhideWhenUsed/>
    <w:qFormat/>
    <w:pPr>
      <w:keepNext w:val="true"/>
      <w:keepLines/>
      <w:outlineLvl w:val="2"/>
    </w:pPr>
    <w:rPr>
      <w:i/>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CabealhoChar" w:customStyle="1">
    <w:name w:val="Cabeçalho Char"/>
    <w:basedOn w:val="DefaultParagraphFont"/>
    <w:qFormat/>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
    <w:name w:val="Hyperlink"/>
    <w:qFormat/>
    <w:rPr>
      <w:color w:val="000080"/>
      <w:u w:val="single"/>
    </w:rPr>
  </w:style>
  <w:style w:type="character" w:styleId="CorpodetextoChar" w:customStyle="1">
    <w:name w:val="Corpo de texto Char"/>
    <w:basedOn w:val="DefaultParagraphFont"/>
    <w:qFormat/>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rPr>
      <w:rFonts w:ascii="Arial" w:hAnsi="Arial" w:eastAsia="Calibri" w:cs="Arial"/>
      <w:b/>
      <w:color w:val="000000"/>
      <w:sz w:val="32"/>
      <w:szCs w:val="32"/>
    </w:rPr>
  </w:style>
  <w:style w:type="character" w:styleId="Nivel2Char" w:customStyle="1">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qFormat/>
    <w:rPr>
      <w:rFonts w:ascii="Cambria" w:hAnsi="Cambria" w:eastAsia="Calibri" w:cs="Tahoma"/>
      <w:b/>
      <w:bCs/>
      <w:color w:themeColor="accent1" w:themeShade="bf" w:val="117A02"/>
      <w:sz w:val="28"/>
      <w:szCs w:val="28"/>
      <w:lang w:eastAsia="pt-BR"/>
    </w:rPr>
  </w:style>
  <w:style w:type="character" w:styleId="Marcadores" w:customStyle="1">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customStyle="1">
    <w:name w:val="WW8Num9z0"/>
    <w:qFormat/>
    <w:rPr>
      <w:b/>
      <w:bCs/>
    </w:rPr>
  </w:style>
  <w:style w:type="character" w:styleId="WW8Num10z0" w:customStyle="1">
    <w:name w:val="WW8Num10z0"/>
    <w:qFormat/>
    <w:rPr>
      <w:b/>
      <w:bCs/>
    </w:rPr>
  </w:style>
  <w:style w:type="character" w:styleId="Hyperlink1" w:customStyle="1">
    <w:name w:val="Hyperlink1"/>
    <w:qFormat/>
    <w:rPr>
      <w:color w:val="000080"/>
      <w:u w:val="single"/>
    </w:rPr>
  </w:style>
  <w:style w:type="character" w:styleId="WW8Num2z0" w:customStyle="1">
    <w:name w:val="WW8Num2z0"/>
    <w:qFormat/>
    <w:rPr>
      <w:rFonts w:ascii="Arial" w:hAnsi="Arial" w:eastAsia="Batang" w:cs="Arial"/>
      <w:b/>
      <w:i w:val="false"/>
      <w:sz w:val="24"/>
      <w:szCs w:val="24"/>
      <w:u w:val="none"/>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paragraph" w:styleId="Ttulo" w:customStyle="1">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uiPriority w:val="10"/>
    <w:qFormat/>
    <w:pPr>
      <w:keepNext w:val="true"/>
      <w:spacing w:before="240" w:after="120"/>
    </w:pPr>
    <w:rPr>
      <w:rFonts w:ascii="Liberation Sans" w:hAnsi="Liberation Sans" w:eastAsia="Microsoft YaHei" w:cs="Lucida Sans"/>
      <w:sz w:val="28"/>
      <w:szCs w:val="28"/>
    </w:rPr>
  </w:style>
  <w:style w:type="paragraph" w:styleId="caption1" w:customStyle="1">
    <w:name w:val="caption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customStyle="1">
    <w:name w:val="Cabeçalho e rodapé9"/>
    <w:basedOn w:val="Normal"/>
    <w:qFormat/>
    <w:pPr/>
    <w:rPr/>
  </w:style>
  <w:style w:type="paragraph" w:styleId="Cabealhoerodap10" w:customStyle="1">
    <w:name w:val="Cabeçalho e rodapé10"/>
    <w:basedOn w:val="Normal"/>
    <w:qFormat/>
    <w:pPr/>
    <w:rPr/>
  </w:style>
  <w:style w:type="paragraph" w:styleId="Cabealhoerodap11" w:customStyle="1">
    <w:name w:val="Cabeçalho e rodapé11"/>
    <w:basedOn w:val="Normal"/>
    <w:qFormat/>
    <w:pPr/>
    <w:rPr/>
  </w:style>
  <w:style w:type="paragraph" w:styleId="Cabealhoerodap12" w:customStyle="1">
    <w:name w:val="Cabeçalho e rodapé12"/>
    <w:basedOn w:val="Normal"/>
    <w:qFormat/>
    <w:pPr/>
    <w:rPr/>
  </w:style>
  <w:style w:type="paragraph" w:styleId="Cabealhoerodap13" w:customStyle="1">
    <w:name w:val="Cabeçalho e rodapé13"/>
    <w:basedOn w:val="Normal"/>
    <w:qFormat/>
    <w:pPr/>
    <w:rPr/>
  </w:style>
  <w:style w:type="paragraph" w:styleId="Cabealhoerodap14" w:customStyle="1">
    <w:name w:val="Cabeçalho e rodapé14"/>
    <w:basedOn w:val="Normal"/>
    <w:qFormat/>
    <w:pPr/>
    <w:rPr/>
  </w:style>
  <w:style w:type="paragraph" w:styleId="Cabealhoerodap15" w:customStyle="1">
    <w:name w:val="Cabeçalho e rodapé15"/>
    <w:basedOn w:val="Normal"/>
    <w:qFormat/>
    <w:pPr/>
    <w:rPr/>
  </w:style>
  <w:style w:type="paragraph" w:styleId="Cabealhoerodap16" w:customStyle="1">
    <w:name w:val="Cabeçalho e rodapé16"/>
    <w:basedOn w:val="Normal"/>
    <w:qFormat/>
    <w:pPr/>
    <w:rPr/>
  </w:style>
  <w:style w:type="paragraph" w:styleId="Cabealhoerodap17" w:customStyle="1">
    <w:name w:val="Cabeçalho e rodapé17"/>
    <w:basedOn w:val="Normal"/>
    <w:qFormat/>
    <w:pPr/>
    <w:rPr/>
  </w:style>
  <w:style w:type="paragraph" w:styleId="Cabealhoerodap18">
    <w:name w:val="Cabeçalho e rodapé18"/>
    <w:basedOn w:val="Normal"/>
    <w:qFormat/>
    <w:pPr/>
    <w:rPr/>
  </w:style>
  <w:style w:type="paragraph" w:styleId="Cabealhoerodap19">
    <w:name w:val="Cabeçalho e rodapé19"/>
    <w:basedOn w:val="Normal"/>
    <w:qFormat/>
    <w:pPr/>
    <w:rPr/>
  </w:style>
  <w:style w:type="paragraph" w:styleId="Cabealhoerodap20">
    <w:name w:val="Cabeçalho e rodapé20"/>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lineRule="auto" w:line="276" w:before="0" w:after="200"/>
      <w:ind w:left="720"/>
      <w:contextualSpacing/>
    </w:pPr>
    <w:rPr>
      <w:rFonts w:ascii="Calibri" w:hAnsi="Calibri" w:eastAsia="Calibri" w:cs="Calibri"/>
      <w:sz w:val="22"/>
      <w:szCs w:val="22"/>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pPr>
      <w:suppressAutoHyphens w:val="false"/>
      <w:spacing w:lineRule="auto" w:line="276" w:before="480" w:after="120"/>
      <w:jc w:val="both"/>
      <w:outlineLvl w:val="9"/>
    </w:pPr>
    <w:rPr>
      <w:rFonts w:ascii="Arial" w:hAnsi="Arial" w:cs="Arial"/>
      <w:bCs w:val="false"/>
      <w:sz w:val="32"/>
      <w:szCs w:val="32"/>
      <w:lang w:eastAsia="en-US"/>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pPr>
      <w:suppressAutoHyphens w:val="true"/>
    </w:pPr>
    <w:rPr>
      <w:kern w:val="2"/>
      <w:szCs w:val="20"/>
      <w:lang w:eastAsia="zh-CN" w:bidi="hi-IN"/>
    </w:rPr>
  </w:style>
  <w:style w:type="paragraph" w:styleId="Nivel2" w:customStyle="1">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customStyle="1">
    <w:name w:val="Nivel 3"/>
    <w:basedOn w:val="ListParagraph"/>
    <w:qFormat/>
    <w:pPr>
      <w:tabs>
        <w:tab w:val="clear" w:pos="708"/>
        <w:tab w:val="left" w:pos="360" w:leader="none"/>
      </w:tabs>
      <w:suppressAutoHyphens w:val="false"/>
      <w:spacing w:before="120" w:after="120"/>
      <w:ind w:left="425"/>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customStyle="1">
    <w:name w:val="Conteúdo da tabela"/>
    <w:basedOn w:val="Normal"/>
    <w:qFormat/>
    <w:pPr>
      <w:widowControl w:val="false"/>
      <w:suppressLineNumbers/>
    </w:pPr>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customStyle="1">
    <w:name w:val="Título de tabela"/>
    <w:basedOn w:val="Contedodatabela"/>
    <w:qFormat/>
    <w:pPr>
      <w:jc w:val="center"/>
    </w:pPr>
    <w:rPr>
      <w:b/>
      <w:bCs/>
    </w:rPr>
  </w:style>
  <w:style w:type="paragraph" w:styleId="Nivel01" w:customStyle="1">
    <w:name w:val="Nivel 01"/>
    <w:basedOn w:val="Heading1"/>
    <w:qFormat/>
    <w:pPr>
      <w:tabs>
        <w:tab w:val="clear" w:pos="708"/>
        <w:tab w:val="left" w:pos="567" w:leader="none"/>
      </w:tabs>
      <w:spacing w:before="240" w:after="0"/>
      <w:jc w:val="both"/>
      <w:outlineLvl w:val="9"/>
    </w:pPr>
    <w:rPr>
      <w:rFonts w:ascii="Ecofont_Spranq_eco_Sans" w:hAnsi="Ecofont_Spranq_eco_Sans" w:eastAsia="MS Gothic" w:cs="Times New Roman"/>
      <w:sz w:val="20"/>
      <w:szCs w:val="20"/>
    </w:rPr>
  </w:style>
  <w:style w:type="paragraph" w:styleId="caption2" w:customStyle="1">
    <w:name w:val="caption2"/>
    <w:basedOn w:val="Normal"/>
    <w:qFormat/>
    <w:pPr>
      <w:suppressLineNumbers/>
      <w:spacing w:before="120" w:after="120"/>
    </w:pPr>
    <w:rPr>
      <w:rFonts w:cs="Lucida Sans"/>
      <w:i/>
      <w:iCs/>
      <w:szCs w:val="24"/>
    </w:rPr>
  </w:style>
  <w:style w:type="paragraph" w:styleId="caption3" w:customStyle="1">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styleId="LO-normal" w:customStyle="1">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customStyle="1">
    <w:name w:val="WW-Texto simples"/>
    <w:basedOn w:val="Normal"/>
    <w:qFormat/>
    <w:pPr/>
    <w:rPr>
      <w:rFonts w:ascii="Courier New" w:hAnsi="Courier New" w:cs="Courier New"/>
      <w:sz w:val="20"/>
    </w:rPr>
  </w:style>
  <w:style w:type="paragraph" w:styleId="Contedodoquadro" w:customStyle="1">
    <w:name w:val="Conteúdo do quadro"/>
    <w:basedOn w:val="Normal"/>
    <w:qFormat/>
    <w:pPr/>
    <w:rPr/>
  </w:style>
  <w:style w:type="paragraph" w:styleId="caption4" w:customStyle="1">
    <w:name w:val="caption4"/>
    <w:basedOn w:val="Normal"/>
    <w:qFormat/>
    <w:pPr>
      <w:suppressLineNumbers/>
      <w:spacing w:before="120" w:after="120"/>
    </w:pPr>
    <w:rPr>
      <w:rFonts w:cs="Lucida Sans"/>
      <w:i/>
      <w:iCs/>
      <w:szCs w:val="24"/>
    </w:rPr>
  </w:style>
  <w:style w:type="paragraph" w:styleId="Padro1" w:customStyle="1">
    <w:name w:val="Padrão"/>
    <w:qFormat/>
    <w:pPr>
      <w:widowControl/>
      <w:tabs>
        <w:tab w:val="left" w:pos="708" w:leader="none"/>
      </w:tabs>
      <w:suppressAutoHyphens w:val="true"/>
      <w:overflowPunct w:val="tru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numbering" w:styleId="Semlista" w:customStyle="1">
    <w:name w:val="Sem lista"/>
    <w:qFormat/>
  </w:style>
  <w:style w:type="numbering" w:styleId="WW8Num10" w:customStyle="1">
    <w:name w:val="WW8Num10"/>
    <w:qFormat/>
  </w:style>
  <w:style w:type="numbering" w:styleId="WW8Num9" w:customStyle="1">
    <w:name w:val="WW8Num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inistracao@saogabriel.es.gov.br" TargetMode="External"/><Relationship Id="rId3" Type="http://schemas.openxmlformats.org/officeDocument/2006/relationships/hyperlink" Target="https://internet.sefaz.es.gov.br/" TargetMode="External"/><Relationship Id="rId4" Type="http://schemas.openxmlformats.org/officeDocument/2006/relationships/hyperlink" Target="http://www.tst.jus.br/"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s://www.planalto.gov.br/ccivil_03/leis/lcp/lcp123.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LibreOffice/24.2.7.2$Windows_X86_64 LibreOffice_project/ee3885777aa7032db5a9b65deec9457448a91162</Application>
  <AppVersion>15.0000</AppVersion>
  <Pages>16</Pages>
  <Words>6519</Words>
  <Characters>36267</Characters>
  <CharactersWithSpaces>42241</CharactersWithSpaces>
  <Paragraphs>615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2026-05-26T16:52:00Z</dcterms:created>
  <dc:creator>Ruth Barbara da Silwa Nascimento</dc:creator>
  <dc:description/>
  <dc:language>pt-BR</dc:language>
  <cp:lastModifiedBy/>
  <cp:lastPrinted>2025-08-04T15:21:00Z</cp:lastPrinted>
  <dcterms:modified xsi:type="dcterms:W3CDTF">2026-05-27T16:32:57Z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